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Распоряжение администрации Владимирской обл. от 21.07.2022 N 686-р</w:t>
              <w:br/>
              <w:t xml:space="preserve">"Об утверждении исходных данных для составления проекта областного бюджета на 2023 год и на плановый период 2024 и 2025 годов"</w:t>
              <w:br/>
              <w:t xml:space="preserve">(вместе с "Основными направлениями налоговой политики Владимирской области на 2023 год и на плановый период 2024 и 2025 годов", "Основными направлениями бюджетной политики Владимирской области на 2023 год и на плановый период 2024 и 2025 годов", "Основными направлениями долговой политики Владимирской области на 2023 год и на плановый период 2024 и 2025 годов")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ВЛАДИМИРСКОЙ ОБЛАСТИ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21 июля 2022 г. N 686-р</w:t>
      </w:r>
    </w:p>
    <w:p>
      <w:pPr>
        <w:pStyle w:val="2"/>
        <w:jc w:val="both"/>
      </w:pPr>
      <w:r>
        <w:rPr>
          <w:sz w:val="20"/>
        </w:rPr>
      </w:r>
    </w:p>
    <w:p>
      <w:pPr>
        <w:pStyle w:val="2"/>
        <w:jc w:val="center"/>
      </w:pPr>
      <w:r>
        <w:rPr>
          <w:sz w:val="20"/>
        </w:rPr>
        <w:t xml:space="preserve">ОБ УТВЕРЖДЕНИИ ИСХОДНЫХ ДАННЫХ ДЛЯ СОСТАВЛЕНИЯ ПРОЕКТА</w:t>
      </w:r>
    </w:p>
    <w:p>
      <w:pPr>
        <w:pStyle w:val="2"/>
        <w:jc w:val="center"/>
      </w:pPr>
      <w:r>
        <w:rPr>
          <w:sz w:val="20"/>
        </w:rPr>
        <w:t xml:space="preserve">ОБЛАСТНОГО БЮДЖЕТА НА 2023 ГОД И НА ПЛАНОВЫЙ ПЕРИОД</w:t>
      </w:r>
    </w:p>
    <w:p>
      <w:pPr>
        <w:pStyle w:val="2"/>
        <w:jc w:val="center"/>
      </w:pPr>
      <w:r>
        <w:rPr>
          <w:sz w:val="20"/>
        </w:rPr>
        <w:t xml:space="preserve">2024 И 2025 ГОДОВ</w:t>
      </w:r>
    </w:p>
    <w:p>
      <w:pPr>
        <w:pStyle w:val="0"/>
        <w:jc w:val="both"/>
      </w:pPr>
      <w:r>
        <w:rPr>
          <w:sz w:val="20"/>
        </w:rPr>
      </w:r>
    </w:p>
    <w:p>
      <w:pPr>
        <w:pStyle w:val="0"/>
        <w:ind w:firstLine="540"/>
        <w:jc w:val="both"/>
      </w:pPr>
      <w:r>
        <w:rPr>
          <w:sz w:val="20"/>
        </w:rPr>
        <w:t xml:space="preserve">В соответствии с </w:t>
      </w:r>
      <w:hyperlink w:history="0" r:id="rId7"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Законом</w:t>
        </w:r>
      </w:hyperlink>
      <w:r>
        <w:rPr>
          <w:sz w:val="20"/>
        </w:rPr>
        <w:t xml:space="preserve"> Владимирской области от 24.11.2000 N 82-ОЗ "О бюджетном процессе во Владимирской области", </w:t>
      </w:r>
      <w:hyperlink w:history="0" r:id="rId8" w:tooltip="Распоряжение администрации Владимирской обл. от 17.05.2019 N 419-р (ред. от 01.07.2022) &quot;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вместе с &quot;Положением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КонсультантПлюс}">
        <w:r>
          <w:rPr>
            <w:sz w:val="20"/>
            <w:color w:val="0000ff"/>
          </w:rPr>
          <w:t xml:space="preserve">распоряжением</w:t>
        </w:r>
      </w:hyperlink>
      <w:r>
        <w:rPr>
          <w:sz w:val="20"/>
        </w:rPr>
        <w:t xml:space="preserve"> администрации области от 17.05.2019 N 419-р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 и в целях составления проекта областного бюджета на 2023 год и на плановый период 2024 и 2025 годов:</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1.1. Основные </w:t>
      </w:r>
      <w:hyperlink w:history="0" w:anchor="P41" w:tooltip="ОСНОВНЫЕ НАПРАВЛЕНИЯ">
        <w:r>
          <w:rPr>
            <w:sz w:val="20"/>
            <w:color w:val="0000ff"/>
          </w:rPr>
          <w:t xml:space="preserve">направления</w:t>
        </w:r>
      </w:hyperlink>
      <w:r>
        <w:rPr>
          <w:sz w:val="20"/>
        </w:rPr>
        <w:t xml:space="preserve"> налоговой политики Владимирской области на 2023 год и на плановый период 2024 и 2025 годов согласно приложению N 1.</w:t>
      </w:r>
    </w:p>
    <w:p>
      <w:pPr>
        <w:pStyle w:val="0"/>
        <w:spacing w:before="200" w:line-rule="auto"/>
        <w:ind w:firstLine="540"/>
        <w:jc w:val="both"/>
      </w:pPr>
      <w:r>
        <w:rPr>
          <w:sz w:val="20"/>
        </w:rPr>
        <w:t xml:space="preserve">1.2. Основные </w:t>
      </w:r>
      <w:hyperlink w:history="0" w:anchor="P470" w:tooltip="ОСНОВНЫЕ НАПРАВЛЕНИЯ">
        <w:r>
          <w:rPr>
            <w:sz w:val="20"/>
            <w:color w:val="0000ff"/>
          </w:rPr>
          <w:t xml:space="preserve">направления</w:t>
        </w:r>
      </w:hyperlink>
      <w:r>
        <w:rPr>
          <w:sz w:val="20"/>
        </w:rPr>
        <w:t xml:space="preserve"> бюджетной политики Владимирской области на 2023 год и на плановый период 2024 и 2025 годов согласно приложению N 2.</w:t>
      </w:r>
    </w:p>
    <w:p>
      <w:pPr>
        <w:pStyle w:val="0"/>
        <w:spacing w:before="200" w:line-rule="auto"/>
        <w:ind w:firstLine="540"/>
        <w:jc w:val="both"/>
      </w:pPr>
      <w:r>
        <w:rPr>
          <w:sz w:val="20"/>
        </w:rPr>
        <w:t xml:space="preserve">1.3. Основные </w:t>
      </w:r>
      <w:hyperlink w:history="0" w:anchor="P717" w:tooltip="ОСНОВНЫЕ НАПРАВЛЕНИЯ">
        <w:r>
          <w:rPr>
            <w:sz w:val="20"/>
            <w:color w:val="0000ff"/>
          </w:rPr>
          <w:t xml:space="preserve">направления</w:t>
        </w:r>
      </w:hyperlink>
      <w:r>
        <w:rPr>
          <w:sz w:val="20"/>
        </w:rPr>
        <w:t xml:space="preserve"> долговой политики Владимирской области на 2023 год и на плановый период 2024 и 2025 годов согласно приложению N 3.</w:t>
      </w:r>
    </w:p>
    <w:p>
      <w:pPr>
        <w:pStyle w:val="0"/>
        <w:spacing w:before="200" w:line-rule="auto"/>
        <w:ind w:firstLine="540"/>
        <w:jc w:val="both"/>
      </w:pPr>
      <w:r>
        <w:rPr>
          <w:sz w:val="20"/>
        </w:rPr>
        <w:t xml:space="preserve">1.4. Основные </w:t>
      </w:r>
      <w:hyperlink w:history="0" w:anchor="P839" w:tooltip="ОСНОВНЫЕ ПОКАЗАТЕЛИ">
        <w:r>
          <w:rPr>
            <w:sz w:val="20"/>
            <w:color w:val="0000ff"/>
          </w:rPr>
          <w:t xml:space="preserve">показатели</w:t>
        </w:r>
      </w:hyperlink>
      <w:r>
        <w:rPr>
          <w:sz w:val="20"/>
        </w:rPr>
        <w:t xml:space="preserve"> консолидированного бюджета Владимирской области на 2023 год и на плановый период 2024 и 2025 годов согласно приложению N 4.</w:t>
      </w:r>
    </w:p>
    <w:p>
      <w:pPr>
        <w:pStyle w:val="0"/>
        <w:spacing w:before="200" w:line-rule="auto"/>
        <w:ind w:firstLine="540"/>
        <w:jc w:val="both"/>
      </w:pPr>
      <w:r>
        <w:rPr>
          <w:sz w:val="20"/>
        </w:rPr>
        <w:t xml:space="preserve">1.5. Основные </w:t>
      </w:r>
      <w:hyperlink w:history="0" w:anchor="P884" w:tooltip="ОСНОВНЫЕ ХАРАКТЕРИСТИКИ">
        <w:r>
          <w:rPr>
            <w:sz w:val="20"/>
            <w:color w:val="0000ff"/>
          </w:rPr>
          <w:t xml:space="preserve">характеристики</w:t>
        </w:r>
      </w:hyperlink>
      <w:r>
        <w:rPr>
          <w:sz w:val="20"/>
        </w:rPr>
        <w:t xml:space="preserve"> областного бюджета на 2023 год и на плановый период 2024 и 2025 годов согласно приложению N 5.</w:t>
      </w:r>
    </w:p>
    <w:p>
      <w:pPr>
        <w:pStyle w:val="0"/>
        <w:spacing w:before="200" w:line-rule="auto"/>
        <w:ind w:firstLine="540"/>
        <w:jc w:val="both"/>
      </w:pPr>
      <w:r>
        <w:rPr>
          <w:sz w:val="20"/>
        </w:rPr>
        <w:t xml:space="preserve">1.6. </w:t>
      </w:r>
      <w:hyperlink w:history="0" w:anchor="P957" w:tooltip="РАСПРЕДЕЛЕНИЕ">
        <w:r>
          <w:rPr>
            <w:sz w:val="20"/>
            <w:color w:val="0000ff"/>
          </w:rPr>
          <w:t xml:space="preserve">Распределение</w:t>
        </w:r>
      </w:hyperlink>
      <w:r>
        <w:rPr>
          <w:sz w:val="20"/>
        </w:rPr>
        <w:t xml:space="preserve"> бюджетных ассигнований на исполнение действующих и вновь принимаемых обязательств Владимирской области на 2023 год и на плановый период 2024 и 2025 годов согласно приложению N 6.</w:t>
      </w:r>
    </w:p>
    <w:p>
      <w:pPr>
        <w:pStyle w:val="0"/>
        <w:spacing w:before="200" w:line-rule="auto"/>
        <w:ind w:firstLine="540"/>
        <w:jc w:val="both"/>
      </w:pPr>
      <w:r>
        <w:rPr>
          <w:sz w:val="20"/>
        </w:rPr>
        <w:t xml:space="preserve">1.7. </w:t>
      </w:r>
      <w:hyperlink w:history="0" w:anchor="P1414" w:tooltip="РАСПРЕДЕЛЕНИЕ">
        <w:r>
          <w:rPr>
            <w:sz w:val="20"/>
            <w:color w:val="0000ff"/>
          </w:rPr>
          <w:t xml:space="preserve">Распределение</w:t>
        </w:r>
      </w:hyperlink>
      <w:r>
        <w:rPr>
          <w:sz w:val="20"/>
        </w:rPr>
        <w:t xml:space="preserve"> бюджетных ассигнований на исполнение действующих и вновь принимаемых обязательств Владимирской области по главным распорядителям средств областного бюджета на 2023 год и на плановый период 2024 и 2025 годов согласно приложению N 7.</w:t>
      </w:r>
    </w:p>
    <w:p>
      <w:pPr>
        <w:pStyle w:val="0"/>
        <w:spacing w:before="200" w:line-rule="auto"/>
        <w:ind w:firstLine="540"/>
        <w:jc w:val="both"/>
      </w:pPr>
      <w:r>
        <w:rPr>
          <w:sz w:val="20"/>
        </w:rPr>
        <w:t xml:space="preserve">1.8. </w:t>
      </w:r>
      <w:hyperlink w:history="0" w:anchor="P1825" w:tooltip="РАСПРЕДЕЛЕНИЕ">
        <w:r>
          <w:rPr>
            <w:sz w:val="20"/>
            <w:color w:val="0000ff"/>
          </w:rPr>
          <w:t xml:space="preserve">Распределение</w:t>
        </w:r>
      </w:hyperlink>
      <w:r>
        <w:rPr>
          <w:sz w:val="20"/>
        </w:rPr>
        <w:t xml:space="preserve"> бюджетных ассигнований на исполнение действующих и вновь принимаемых обязательств Владимирской области по разделам классификации расходов областного бюджета на 2023 год и на плановый период 2024 и 2025 годов согласно приложению N 8.</w:t>
      </w:r>
    </w:p>
    <w:p>
      <w:pPr>
        <w:pStyle w:val="0"/>
        <w:spacing w:before="200" w:line-rule="auto"/>
        <w:ind w:firstLine="540"/>
        <w:jc w:val="both"/>
      </w:pPr>
      <w:r>
        <w:rPr>
          <w:sz w:val="20"/>
        </w:rPr>
        <w:t xml:space="preserve">1.9. </w:t>
      </w:r>
      <w:hyperlink w:history="0" w:anchor="P2033" w:tooltip="ПЕРЕЧЕНЬ">
        <w:r>
          <w:rPr>
            <w:sz w:val="20"/>
            <w:color w:val="0000ff"/>
          </w:rPr>
          <w:t xml:space="preserve">Перечень</w:t>
        </w:r>
      </w:hyperlink>
      <w:r>
        <w:rPr>
          <w:sz w:val="20"/>
        </w:rPr>
        <w:t xml:space="preserve"> приоритетных направлений софинансирования расходных обязательств муниципальных образований Владимирской области на 2023 год и на плановый период 2024 и 2025 годов согласно приложению N 9.</w:t>
      </w:r>
    </w:p>
    <w:p>
      <w:pPr>
        <w:pStyle w:val="0"/>
        <w:spacing w:before="200" w:line-rule="auto"/>
        <w:ind w:firstLine="540"/>
        <w:jc w:val="both"/>
      </w:pPr>
      <w:r>
        <w:rPr>
          <w:sz w:val="20"/>
        </w:rPr>
        <w:t xml:space="preserve">2. Департаменту финансов Владимирской области направить настоящее распоряжение в Законодательное Собрание области до 1 августа 2022 года.</w:t>
      </w:r>
    </w:p>
    <w:p>
      <w:pPr>
        <w:pStyle w:val="0"/>
        <w:spacing w:before="200" w:line-rule="auto"/>
        <w:ind w:firstLine="540"/>
        <w:jc w:val="both"/>
      </w:pPr>
      <w:r>
        <w:rPr>
          <w:sz w:val="20"/>
        </w:rPr>
        <w:t xml:space="preserve">3. Контроль за исполнением настоящего распоряжения возложить на первого заместителя Губернатора области, директора Департамента финансов Владимирской области.</w:t>
      </w:r>
    </w:p>
    <w:p>
      <w:pPr>
        <w:pStyle w:val="0"/>
        <w:jc w:val="both"/>
      </w:pPr>
      <w:r>
        <w:rPr>
          <w:sz w:val="20"/>
        </w:rPr>
      </w:r>
    </w:p>
    <w:p>
      <w:pPr>
        <w:pStyle w:val="0"/>
        <w:jc w:val="right"/>
      </w:pPr>
      <w:r>
        <w:rPr>
          <w:sz w:val="20"/>
        </w:rPr>
        <w:t xml:space="preserve">Временно исполняющий обязанности</w:t>
      </w:r>
    </w:p>
    <w:p>
      <w:pPr>
        <w:pStyle w:val="0"/>
        <w:jc w:val="right"/>
      </w:pPr>
      <w:r>
        <w:rPr>
          <w:sz w:val="20"/>
        </w:rPr>
        <w:t xml:space="preserve">Губернатора области</w:t>
      </w:r>
    </w:p>
    <w:p>
      <w:pPr>
        <w:pStyle w:val="0"/>
        <w:jc w:val="right"/>
      </w:pPr>
      <w:r>
        <w:rPr>
          <w:sz w:val="20"/>
        </w:rPr>
        <w:t xml:space="preserve">А.А.АВДЕЕВ</w:t>
      </w:r>
    </w:p>
    <w:p>
      <w:pPr>
        <w:pStyle w:val="0"/>
      </w:pPr>
      <w:r>
        <w:rPr>
          <w:sz w:val="20"/>
        </w:rPr>
        <w:t xml:space="preserve">Владимир</w:t>
      </w:r>
    </w:p>
    <w:p>
      <w:pPr>
        <w:pStyle w:val="0"/>
        <w:spacing w:before="200" w:line-rule="auto"/>
      </w:pPr>
      <w:r>
        <w:rPr>
          <w:sz w:val="20"/>
        </w:rPr>
        <w:t xml:space="preserve">21 июля 2022 года</w:t>
      </w:r>
    </w:p>
    <w:p>
      <w:pPr>
        <w:pStyle w:val="0"/>
        <w:spacing w:before="200" w:line-rule="auto"/>
      </w:pPr>
      <w:r>
        <w:rPr>
          <w:sz w:val="20"/>
        </w:rPr>
        <w:t xml:space="preserve">N 686-р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41" w:name="P41"/>
    <w:bookmarkEnd w:id="41"/>
    <w:p>
      <w:pPr>
        <w:pStyle w:val="2"/>
        <w:jc w:val="center"/>
      </w:pPr>
      <w:r>
        <w:rPr>
          <w:sz w:val="20"/>
        </w:rPr>
        <w:t xml:space="preserve">ОСНОВНЫЕ НАПРАВЛЕНИЯ</w:t>
      </w:r>
    </w:p>
    <w:p>
      <w:pPr>
        <w:pStyle w:val="2"/>
        <w:jc w:val="center"/>
      </w:pPr>
      <w:r>
        <w:rPr>
          <w:sz w:val="20"/>
        </w:rPr>
        <w:t xml:space="preserve">НАЛОГОВОЙ ПОЛИТИКИ ВЛАДИМИРСКОЙ ОБЛАСТИ НА 2023 ГОД</w:t>
      </w:r>
    </w:p>
    <w:p>
      <w:pPr>
        <w:pStyle w:val="2"/>
        <w:jc w:val="center"/>
      </w:pPr>
      <w:r>
        <w:rPr>
          <w:sz w:val="20"/>
        </w:rPr>
        <w:t xml:space="preserve">И НА ПЛАНОВЫЙ ПЕРИОД 2024 И 2025 ГОДОВ</w:t>
      </w:r>
    </w:p>
    <w:p>
      <w:pPr>
        <w:pStyle w:val="0"/>
        <w:jc w:val="both"/>
      </w:pPr>
      <w:r>
        <w:rPr>
          <w:sz w:val="20"/>
        </w:rPr>
      </w:r>
    </w:p>
    <w:p>
      <w:pPr>
        <w:pStyle w:val="0"/>
        <w:ind w:firstLine="540"/>
        <w:jc w:val="both"/>
      </w:pPr>
      <w:r>
        <w:rPr>
          <w:sz w:val="20"/>
        </w:rPr>
        <w:t xml:space="preserve">Основные направления налоговой политики Владимирской области на 2023 год и на плановый период 2024 и 2025 годов разработаны в соответствии со </w:t>
      </w:r>
      <w:hyperlink w:history="0" r:id="rId9"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 </w:t>
      </w:r>
      <w:hyperlink w:history="0" r:id="rId10"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w:t>
      </w:r>
      <w:hyperlink w:history="0" r:id="rId11"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Законом</w:t>
        </w:r>
      </w:hyperlink>
      <w:r>
        <w:rPr>
          <w:sz w:val="20"/>
        </w:rPr>
        <w:t xml:space="preserve"> области от 24 ноября 2000 года N 82-ОЗ "О бюджетном процессе во Владимирской области".</w:t>
      </w:r>
    </w:p>
    <w:p>
      <w:pPr>
        <w:pStyle w:val="0"/>
        <w:spacing w:before="200" w:line-rule="auto"/>
        <w:ind w:firstLine="540"/>
        <w:jc w:val="both"/>
      </w:pPr>
      <w:r>
        <w:rPr>
          <w:sz w:val="20"/>
        </w:rPr>
        <w:t xml:space="preserve">Результатом реализации налоговой политики должно стать развитие и укрепление налогового потенциала области за счет роста экономических показателей.</w:t>
      </w:r>
    </w:p>
    <w:p>
      <w:pPr>
        <w:pStyle w:val="0"/>
        <w:spacing w:before="200" w:line-rule="auto"/>
        <w:ind w:firstLine="540"/>
        <w:jc w:val="both"/>
      </w:pPr>
      <w:r>
        <w:rPr>
          <w:sz w:val="20"/>
        </w:rPr>
        <w:t xml:space="preserve">Главным стратегическим ориентиром налоговой политики будет являться стабильность и предсказуемость регионального налогового законодательства, повышение прозрачности налоговой политики.</w:t>
      </w:r>
    </w:p>
    <w:p>
      <w:pPr>
        <w:pStyle w:val="0"/>
        <w:spacing w:before="200" w:line-rule="auto"/>
        <w:ind w:firstLine="540"/>
        <w:jc w:val="both"/>
      </w:pPr>
      <w:r>
        <w:rPr>
          <w:sz w:val="20"/>
        </w:rPr>
        <w:t xml:space="preserve">Основные направления налоговой политики Владимирской области являются базой для формирования налоговых и неналоговых доходов областного бюджета и определяют условия, используемые при составлении проекта областного бюджета на 2023 год и на плановый период 2024 и 2025 годов, и подходов к его формированию.</w:t>
      </w:r>
    </w:p>
    <w:p>
      <w:pPr>
        <w:pStyle w:val="0"/>
        <w:spacing w:before="200" w:line-rule="auto"/>
        <w:ind w:firstLine="540"/>
        <w:jc w:val="both"/>
      </w:pPr>
      <w:r>
        <w:rPr>
          <w:sz w:val="20"/>
        </w:rPr>
        <w:t xml:space="preserve">В случае изменений параметров налоговой системы Российской Федерации основные направления налоговой политики Владимирской области могут быть скорректированы в 2023 году при определении налоговой политики на 2024 и последующие годы.</w:t>
      </w:r>
    </w:p>
    <w:p>
      <w:pPr>
        <w:pStyle w:val="0"/>
        <w:jc w:val="both"/>
      </w:pPr>
      <w:r>
        <w:rPr>
          <w:sz w:val="20"/>
        </w:rPr>
      </w:r>
    </w:p>
    <w:p>
      <w:pPr>
        <w:pStyle w:val="2"/>
        <w:outlineLvl w:val="1"/>
        <w:jc w:val="center"/>
      </w:pPr>
      <w:r>
        <w:rPr>
          <w:sz w:val="20"/>
        </w:rPr>
        <w:t xml:space="preserve">I. Основные результаты реализации налоговой политики</w:t>
      </w:r>
    </w:p>
    <w:p>
      <w:pPr>
        <w:pStyle w:val="2"/>
        <w:jc w:val="center"/>
      </w:pPr>
      <w:r>
        <w:rPr>
          <w:sz w:val="20"/>
        </w:rPr>
        <w:t xml:space="preserve">в 2021 году</w:t>
      </w:r>
    </w:p>
    <w:p>
      <w:pPr>
        <w:pStyle w:val="0"/>
        <w:jc w:val="both"/>
      </w:pPr>
      <w:r>
        <w:rPr>
          <w:sz w:val="20"/>
        </w:rPr>
      </w:r>
    </w:p>
    <w:p>
      <w:pPr>
        <w:pStyle w:val="0"/>
        <w:ind w:firstLine="540"/>
        <w:jc w:val="both"/>
      </w:pPr>
      <w:r>
        <w:rPr>
          <w:sz w:val="20"/>
        </w:rPr>
        <w:t xml:space="preserve">Социально-экономическое положение Владимирской области в 2021 году развивалось в условиях реализации Общенационального плана действий, обеспечивающего рост экономики, а также восстановление занятости и доходов населения, одобренного Правительством Российской Федерации 23 сентября 2020 года, что позволило обеспечить рост основных макроэкономических показателей региона по отношению к уровню 2020 года.</w:t>
      </w:r>
    </w:p>
    <w:p>
      <w:pPr>
        <w:pStyle w:val="0"/>
        <w:spacing w:before="200" w:line-rule="auto"/>
        <w:ind w:firstLine="540"/>
        <w:jc w:val="both"/>
      </w:pPr>
      <w:r>
        <w:rPr>
          <w:sz w:val="20"/>
        </w:rPr>
        <w:t xml:space="preserve">Так, оборот организаций составил 1555,6 млрд. рублей с приростом на 28,9% к уровню 2020 года. Индекс промышленного производства составил 106,1%, в том числе по виду экономической деятельности "добыча полезных ископаемых" - 113,1%, "обрабатывающие производства" - 104,7%. Объем отгруженных товаров собственного производства, выполненных работ и услуг собственными силами по виду деятельности "добыча полезных ископаемых" увеличился к уровню 2020 года на 49,2%, по виду деятельности "обрабатывающие производства" - на 43,1%. Объем работ, выполненных по виду деятельности "строительство", - на 34%. Среднемесячная номинальная начисленная заработная плата работников организаций области увеличилась на 10,1% и сложилась в сумме 37803,9 рубля.</w:t>
      </w:r>
    </w:p>
    <w:p>
      <w:pPr>
        <w:pStyle w:val="0"/>
        <w:spacing w:before="200" w:line-rule="auto"/>
        <w:ind w:firstLine="540"/>
        <w:jc w:val="both"/>
      </w:pPr>
      <w:r>
        <w:rPr>
          <w:sz w:val="20"/>
        </w:rPr>
        <w:t xml:space="preserve">Объем инвестиций в основной капитал за счет всех источников финансирования в 2021 году составил 103,8 млрд. рублей, что на 5,5% больше уровня 2020 года.</w:t>
      </w:r>
    </w:p>
    <w:p>
      <w:pPr>
        <w:pStyle w:val="0"/>
        <w:spacing w:before="200" w:line-rule="auto"/>
        <w:ind w:firstLine="540"/>
        <w:jc w:val="both"/>
      </w:pPr>
      <w:r>
        <w:rPr>
          <w:sz w:val="20"/>
        </w:rPr>
        <w:t xml:space="preserve">Налоговая политика региона направлена на увеличение налогового потенциала области не за счет повышения налоговой нагрузки на плательщиков, а за счет роста экономических показателей путем повышения инвестиционной активности. Механизм предоставления налоговых льгот является одним из наиболее мощных экономических рычагов воздействия на экономические интересы хозяйствующих субъектов региона и его социально-экономическое развитие в целом. Предоставление налоговых льгот инвесторам призвано стимулировать приток инвестиций в экономику региона, и, как следствие, в перспективе обеспечивать рост налогооблагаемой базы и прирост налоговых поступлений в бюджет области.</w:t>
      </w:r>
    </w:p>
    <w:p>
      <w:pPr>
        <w:pStyle w:val="0"/>
        <w:spacing w:before="200" w:line-rule="auto"/>
        <w:ind w:firstLine="540"/>
        <w:jc w:val="both"/>
      </w:pPr>
      <w:r>
        <w:rPr>
          <w:sz w:val="20"/>
        </w:rPr>
        <w:t xml:space="preserve">В 2021 году в целях поддержки экономики в период ее восстановления после пандемии наряду с федеральными мерами поддержки дополнительно на региональном уровне:</w:t>
      </w:r>
    </w:p>
    <w:p>
      <w:pPr>
        <w:pStyle w:val="0"/>
        <w:spacing w:before="200" w:line-rule="auto"/>
        <w:ind w:firstLine="540"/>
        <w:jc w:val="both"/>
      </w:pPr>
      <w:r>
        <w:rPr>
          <w:sz w:val="20"/>
        </w:rPr>
        <w:t xml:space="preserve">- сохранены пониженные налоговые ставки по упрощенной системе налогообложения для субъектов малого и среднего предпринимательства, работающих в отраслях экономики наиболее, пострадавших в период пандемии;</w:t>
      </w:r>
    </w:p>
    <w:p>
      <w:pPr>
        <w:pStyle w:val="0"/>
        <w:spacing w:before="200" w:line-rule="auto"/>
        <w:ind w:firstLine="540"/>
        <w:jc w:val="both"/>
      </w:pPr>
      <w:r>
        <w:rPr>
          <w:sz w:val="20"/>
        </w:rPr>
        <w:t xml:space="preserve">- установлены пониженные размеры потенциально возможного годового дохода для индивидуальных предпринимателей, применяющих патентную систему налогообложения;</w:t>
      </w:r>
    </w:p>
    <w:p>
      <w:pPr>
        <w:pStyle w:val="0"/>
        <w:spacing w:before="200" w:line-rule="auto"/>
        <w:ind w:firstLine="540"/>
        <w:jc w:val="both"/>
      </w:pPr>
      <w:r>
        <w:rPr>
          <w:sz w:val="20"/>
        </w:rPr>
        <w:t xml:space="preserve">- установлены пониженные налоговые ставки для субъектов малого и среднего предпринимательства, перешедших с уплаты единого налога на вмененный доход на упрощенную систему налогообложения;</w:t>
      </w:r>
    </w:p>
    <w:p>
      <w:pPr>
        <w:pStyle w:val="0"/>
        <w:spacing w:before="200" w:line-rule="auto"/>
        <w:ind w:firstLine="540"/>
        <w:jc w:val="both"/>
      </w:pPr>
      <w:r>
        <w:rPr>
          <w:sz w:val="20"/>
        </w:rPr>
        <w:t xml:space="preserve">- установлены пониженные налоговые ставки по налогу на имущество организаций в отношении объектов недвижимого имущества, налоговая база по которым определяется как кадастровая стоимость.</w:t>
      </w:r>
    </w:p>
    <w:p>
      <w:pPr>
        <w:pStyle w:val="0"/>
        <w:spacing w:before="200" w:line-rule="auto"/>
        <w:ind w:firstLine="540"/>
        <w:jc w:val="both"/>
      </w:pPr>
      <w:r>
        <w:rPr>
          <w:sz w:val="20"/>
        </w:rPr>
        <w:t xml:space="preserve">На региональном уровне в 2021 году были сохранены все налоговые льготы:</w:t>
      </w:r>
    </w:p>
    <w:p>
      <w:pPr>
        <w:pStyle w:val="0"/>
        <w:spacing w:before="200" w:line-rule="auto"/>
        <w:ind w:firstLine="540"/>
        <w:jc w:val="both"/>
      </w:pPr>
      <w:r>
        <w:rPr>
          <w:sz w:val="20"/>
        </w:rPr>
        <w:t xml:space="preserve">- для инвесторов - по налогу на прибыль организаций и по налогу на имущество организаций в виде установления дифференцированных налоговых ставок в зависимости от категории инвестиционного проекта и объема инвестиций (Законы Владимирской области от 12 ноября 2015 года </w:t>
      </w:r>
      <w:hyperlink w:history="0" r:id="rId12" w:tooltip="Закон Владимирской области от 12.11.2015 N 157-ОЗ (ред. от 08.11.2022) &quot;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quot; (принят постановлением ЗС Владимирской области от 28.10.2015 N 286) {КонсультантПлюс}">
        <w:r>
          <w:rPr>
            <w:sz w:val="20"/>
            <w:color w:val="0000ff"/>
          </w:rPr>
          <w:t xml:space="preserve">N 157-ОЗ</w:t>
        </w:r>
      </w:hyperlink>
      <w:r>
        <w:rPr>
          <w:sz w:val="20"/>
        </w:rPr>
        <w:t xml:space="preserve"> и </w:t>
      </w:r>
      <w:hyperlink w:history="0" r:id="rId13" w:tooltip="Закон Владимирской области от 12.11.2015 N 158-ОЗ (ред. от 11.07.2022) &quot;О внесении изменений в Закон Владимирской области &quot;О налоге на имущество организаций&quot; (принят постановлением ЗС Владимирской области от 28.10.2015 N 287) {КонсультантПлюс}">
        <w:r>
          <w:rPr>
            <w:sz w:val="20"/>
            <w:color w:val="0000ff"/>
          </w:rPr>
          <w:t xml:space="preserve">N 158-ОЗ</w:t>
        </w:r>
      </w:hyperlink>
      <w:r>
        <w:rPr>
          <w:sz w:val="20"/>
        </w:rPr>
        <w:t xml:space="preserve">);</w:t>
      </w:r>
    </w:p>
    <w:p>
      <w:pPr>
        <w:pStyle w:val="0"/>
        <w:spacing w:before="200" w:line-rule="auto"/>
        <w:ind w:firstLine="540"/>
        <w:jc w:val="both"/>
      </w:pPr>
      <w:r>
        <w:rPr>
          <w:sz w:val="20"/>
        </w:rPr>
        <w:t xml:space="preserve">- для участников региональных инвестиционных проектов - по налогу на прибыль организаций в виде установления пониженной ставки налога на прибыль в размере 10% (</w:t>
      </w:r>
      <w:hyperlink w:history="0" r:id="rId14"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Владимирской области от 10 мая 2017 года N 39-ОЗ);</w:t>
      </w:r>
    </w:p>
    <w:p>
      <w:pPr>
        <w:pStyle w:val="0"/>
        <w:spacing w:before="200" w:line-rule="auto"/>
        <w:ind w:firstLine="540"/>
        <w:jc w:val="both"/>
      </w:pPr>
      <w:r>
        <w:rPr>
          <w:sz w:val="20"/>
        </w:rPr>
        <w:t xml:space="preserve">- для участников специальных инвестиционных контрактов - по налогу на прибыль организаций в виде установления пониженной налоговой ставки в размере 5% (</w:t>
      </w:r>
      <w:hyperlink w:history="0" r:id="rId15"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Владимирской области от 10 мая 2017 года N 39-ОЗ);</w:t>
      </w:r>
    </w:p>
    <w:p>
      <w:pPr>
        <w:pStyle w:val="0"/>
        <w:spacing w:before="200" w:line-rule="auto"/>
        <w:ind w:firstLine="540"/>
        <w:jc w:val="both"/>
      </w:pPr>
      <w:r>
        <w:rPr>
          <w:sz w:val="20"/>
        </w:rPr>
        <w:t xml:space="preserve">- для резидентов территории опережающего социально-экономического развития (ТОСЭР) - по налогу на прибыль организаций в виде 0% в течение пяти налоговых периодов, 10% - в течение следующих пяти налоговых периодов и по налогу на имущество организаций - полного освобождения в течение 10 лет (Законы Владимирской области от 4 мая 2018 года </w:t>
      </w:r>
      <w:hyperlink w:history="0" r:id="rId16" w:tooltip="Закон Владимирской области от 04.05.2018 N 47-ОЗ &quot;О внесении изменения в статью 2.1 Закона Владимирской области &quot;О налоге на имущество организаций&quot; (принят постановлением ЗС Владимирской области от 25.04.2018 N 104) {КонсультантПлюс}">
        <w:r>
          <w:rPr>
            <w:sz w:val="20"/>
            <w:color w:val="0000ff"/>
          </w:rPr>
          <w:t xml:space="preserve">N 47-ОЗ</w:t>
        </w:r>
      </w:hyperlink>
      <w:r>
        <w:rPr>
          <w:sz w:val="20"/>
        </w:rPr>
        <w:t xml:space="preserve"> и </w:t>
      </w:r>
      <w:hyperlink w:history="0" r:id="rId17" w:tooltip="Закон Владимирской области от 04.05.2018 N 48-ОЗ (ред. от 08.11.2022) &quot;Об установлении пониженной налоговой ставки налога на прибыль организаций для резидентов территорий опережающего развития, созданных на территориях монопрофильных муниципальных образований (моногородов) Владимирской области&quot; (принят постановлением ЗС Владимирской области от 25.04.2018 N 105) {КонсультантПлюс}">
        <w:r>
          <w:rPr>
            <w:sz w:val="20"/>
            <w:color w:val="0000ff"/>
          </w:rPr>
          <w:t xml:space="preserve">N 48-ОЗ</w:t>
        </w:r>
      </w:hyperlink>
      <w:r>
        <w:rPr>
          <w:sz w:val="20"/>
        </w:rPr>
        <w:t xml:space="preserve">);</w:t>
      </w:r>
    </w:p>
    <w:p>
      <w:pPr>
        <w:pStyle w:val="0"/>
        <w:spacing w:before="200" w:line-rule="auto"/>
        <w:ind w:firstLine="540"/>
        <w:jc w:val="both"/>
      </w:pPr>
      <w:r>
        <w:rPr>
          <w:sz w:val="20"/>
        </w:rPr>
        <w:t xml:space="preserve">- для резидентов особых экономических зон промышленно-производственного типа - по налогу на прибыль организаций в виде 0% - в течение семи налоговых периодов, 5% - в период с восьмого по двенадцатый налоговый период включительно, 13,5% - по истечении двенадцати налоговых периодов, а также по транспортному налогу - полного освобождения от уплаты транспортного налога в отношении грузовых автомобилей, автобусов и других самоходных машин и механизмов на пневматическом и гусеничном ходу в течение десяти налоговых периодов (Законы Владимирской области от 28 ноября 2019 года </w:t>
      </w:r>
      <w:hyperlink w:history="0" r:id="rId18" w:tooltip="Закон Владимирской области от 28.11.2019 N 102-ОЗ &quot;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quot; (принят постановлением ЗС Владимирской области от 26.11.2019 N 360) {КонсультантПлюс}">
        <w:r>
          <w:rPr>
            <w:sz w:val="20"/>
            <w:color w:val="0000ff"/>
          </w:rPr>
          <w:t xml:space="preserve">N 102-ОЗ</w:t>
        </w:r>
      </w:hyperlink>
      <w:r>
        <w:rPr>
          <w:sz w:val="20"/>
        </w:rPr>
        <w:t xml:space="preserve"> и </w:t>
      </w:r>
      <w:hyperlink w:history="0" r:id="rId19" w:tooltip="Закон Владимирской области от 28.11.2019 N 103-ОЗ &quot;О внесении изменения в статью 7 Закона Владимирской области &quot;О транспортном налоге&quot; (принят постановлением ЗС Владимирской области от 26.11.2019 N 361) {КонсультантПлюс}">
        <w:r>
          <w:rPr>
            <w:sz w:val="20"/>
            <w:color w:val="0000ff"/>
          </w:rPr>
          <w:t xml:space="preserve">N 103-ОЗ</w:t>
        </w:r>
      </w:hyperlink>
      <w:r>
        <w:rPr>
          <w:sz w:val="20"/>
        </w:rPr>
        <w:t xml:space="preserve">).</w:t>
      </w:r>
    </w:p>
    <w:p>
      <w:pPr>
        <w:pStyle w:val="0"/>
        <w:spacing w:before="200" w:line-rule="auto"/>
        <w:ind w:firstLine="540"/>
        <w:jc w:val="both"/>
      </w:pPr>
      <w:r>
        <w:rPr>
          <w:sz w:val="20"/>
        </w:rPr>
        <w:t xml:space="preserve">В целях социальной поддержки граждан предоставлены льготы по транспортному налогу с физических лиц:</w:t>
      </w:r>
    </w:p>
    <w:p>
      <w:pPr>
        <w:pStyle w:val="0"/>
        <w:spacing w:before="200" w:line-rule="auto"/>
        <w:ind w:firstLine="540"/>
        <w:jc w:val="both"/>
      </w:pPr>
      <w:r>
        <w:rPr>
          <w:sz w:val="20"/>
        </w:rPr>
        <w:t xml:space="preserve">- родителям (усыновителям, опекунам, попечителям), имеющим детей-инвалидов (</w:t>
      </w:r>
      <w:hyperlink w:history="0" r:id="rId20" w:tooltip="Закон Владимирской области от 11.07.2018 N 78-ОЗ &quot;О внесении изменения в статью 7 Закона Владимирской области &quot;О транспортном налоге&quot; (принят постановлением ЗС Владимирской области от 27.06.2018 N 155) {КонсультантПлюс}">
        <w:r>
          <w:rPr>
            <w:sz w:val="20"/>
            <w:color w:val="0000ff"/>
          </w:rPr>
          <w:t xml:space="preserve">Закон</w:t>
        </w:r>
      </w:hyperlink>
      <w:r>
        <w:rPr>
          <w:sz w:val="20"/>
        </w:rPr>
        <w:t xml:space="preserve"> Владимирской области от 11 июля 2018 года N 78-ОЗ);</w:t>
      </w:r>
    </w:p>
    <w:p>
      <w:pPr>
        <w:pStyle w:val="0"/>
        <w:spacing w:before="200" w:line-rule="auto"/>
        <w:ind w:firstLine="540"/>
        <w:jc w:val="both"/>
      </w:pPr>
      <w:r>
        <w:rPr>
          <w:sz w:val="20"/>
        </w:rPr>
        <w:t xml:space="preserve">- мужчинам, достигшим возраста 60 лет, и женщинам, достигшим возраста 55 лет (</w:t>
      </w:r>
      <w:hyperlink w:history="0" r:id="rId21" w:tooltip="Закон Владимирской области от 28.09.2018 N 90-ОЗ &quot;О внесении изменений в статью 7 Закона Владимирской области &quot;О транспортном налоге&quot; (принят постановлением ЗС Владимирской области от 28.09.2018 N 8) {КонсультантПлюс}">
        <w:r>
          <w:rPr>
            <w:sz w:val="20"/>
            <w:color w:val="0000ff"/>
          </w:rPr>
          <w:t xml:space="preserve">Закон</w:t>
        </w:r>
      </w:hyperlink>
      <w:r>
        <w:rPr>
          <w:sz w:val="20"/>
        </w:rPr>
        <w:t xml:space="preserve"> Владимирской области от 28 сентября 2018 года N 90-ОЗ);</w:t>
      </w:r>
    </w:p>
    <w:p>
      <w:pPr>
        <w:pStyle w:val="0"/>
        <w:spacing w:before="200" w:line-rule="auto"/>
        <w:ind w:firstLine="540"/>
        <w:jc w:val="both"/>
      </w:pPr>
      <w:r>
        <w:rPr>
          <w:sz w:val="20"/>
        </w:rPr>
        <w:t xml:space="preserve">- военнослужащим войск национальной гвардии (</w:t>
      </w:r>
      <w:hyperlink w:history="0" r:id="rId22" w:tooltip="Закон Владимирской области от 29.12.2018 N 138-ОЗ &quot;О внесении изменения в статью 7 Закона Владимирской области &quot;О транспортном налоге&quot; (принят постановлением ЗС Владимирской области от 19.12.2018 N 123) {КонсультантПлюс}">
        <w:r>
          <w:rPr>
            <w:sz w:val="20"/>
            <w:color w:val="0000ff"/>
          </w:rPr>
          <w:t xml:space="preserve">Закон</w:t>
        </w:r>
      </w:hyperlink>
      <w:r>
        <w:rPr>
          <w:sz w:val="20"/>
        </w:rPr>
        <w:t xml:space="preserve"> Владимирской области от 29 декабря 2018 года N 138-ОЗ);</w:t>
      </w:r>
    </w:p>
    <w:p>
      <w:pPr>
        <w:pStyle w:val="0"/>
        <w:spacing w:before="200" w:line-rule="auto"/>
        <w:ind w:firstLine="540"/>
        <w:jc w:val="both"/>
      </w:pPr>
      <w:r>
        <w:rPr>
          <w:sz w:val="20"/>
        </w:rPr>
        <w:t xml:space="preserve">- ветеранам боевых действий (</w:t>
      </w:r>
      <w:hyperlink w:history="0" r:id="rId23" w:tooltip="Закон Владимирской области от 26.04.2019 N 39-ОЗ &quot;О внесении изменения в статью 7 Закона Владимирской области &quot;О транспортном налоге&quot; (принят постановлением ЗС Владимирской области от 18.04.2019 N 125) {КонсультантПлюс}">
        <w:r>
          <w:rPr>
            <w:sz w:val="20"/>
            <w:color w:val="0000ff"/>
          </w:rPr>
          <w:t xml:space="preserve">Закон</w:t>
        </w:r>
      </w:hyperlink>
      <w:r>
        <w:rPr>
          <w:sz w:val="20"/>
        </w:rPr>
        <w:t xml:space="preserve"> Владимирской области от 26 апреля 2019 года N 39-ОЗ).</w:t>
      </w:r>
    </w:p>
    <w:p>
      <w:pPr>
        <w:pStyle w:val="0"/>
        <w:spacing w:before="200" w:line-rule="auto"/>
        <w:ind w:firstLine="540"/>
        <w:jc w:val="both"/>
      </w:pPr>
      <w:r>
        <w:rPr>
          <w:sz w:val="20"/>
        </w:rPr>
        <w:t xml:space="preserve">Реестр налоговых расходов (налоговых льгот) областного бюджета сформирован и проведена оценка их эффективности в соответствии с </w:t>
      </w:r>
      <w:hyperlink w:history="0" r:id="rId24" w:tooltip="Постановление Правительства РФ от 22.06.2019 N 796 (ред. от 15.06.2022) &quot;Об общих требованиях к оценке налоговых расходов субъектов Российской Федерации и муниципальных образований&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22 июня 2019 года N 796 "Об общих требованиях к оценке налоговых расходов субъектов Российской Федерации и муниципальных образований".</w:t>
      </w:r>
    </w:p>
    <w:p>
      <w:pPr>
        <w:pStyle w:val="0"/>
        <w:spacing w:before="200" w:line-rule="auto"/>
        <w:ind w:firstLine="540"/>
        <w:jc w:val="both"/>
      </w:pPr>
      <w:hyperlink w:history="0" r:id="rId25" w:tooltip="Постановление Правительства РФ от 27.10.2020 N 1744 &quot;О создании на территории Ковровского района Владимирской области особой экономической зоны промышленно-производственного типа&quot; {КонсультантПлюс}">
        <w:r>
          <w:rPr>
            <w:sz w:val="20"/>
            <w:color w:val="0000ff"/>
          </w:rPr>
          <w:t xml:space="preserve">Постановлением</w:t>
        </w:r>
      </w:hyperlink>
      <w:r>
        <w:rPr>
          <w:sz w:val="20"/>
        </w:rPr>
        <w:t xml:space="preserve"> Правительства Российской Федерации от 27 октября 2020 года N 1744 на территории Ковровского района создана особая экономическая зона промышленно-производственного типа "Доброград-1", где будут реализованы инвестиционные проекты по производству пенополиуретана, текстиля и аксессуаров для сна, мебели, упаковочного материала, по строительству завода среднего машиностроения. Целью создания особой экономической зоны является рост инвестиций, создание новых рабочих мест и, как следствие, рост валового регионального продукта и в дальнейшем налогового потенциала области.</w:t>
      </w:r>
    </w:p>
    <w:p>
      <w:pPr>
        <w:pStyle w:val="0"/>
        <w:spacing w:before="200" w:line-rule="auto"/>
        <w:ind w:firstLine="540"/>
        <w:jc w:val="both"/>
      </w:pPr>
      <w:r>
        <w:rPr>
          <w:sz w:val="20"/>
        </w:rPr>
        <w:t xml:space="preserve">В 2021 году проведена работа по привлечению бюджетного кредита на реализацию инфраструктурных проектов в г. Владимире, Александровском и Ковровском районах на сумму 5,6 млрд. рублей. Льготные бюджетные кредиты из федерального бюджета на развитие инфраструктуры будут предоставляться на возвратной основе по ставке 3% годовых на срок не менее 15 лет.</w:t>
      </w:r>
    </w:p>
    <w:p>
      <w:pPr>
        <w:pStyle w:val="0"/>
        <w:spacing w:before="200" w:line-rule="auto"/>
        <w:ind w:firstLine="540"/>
        <w:jc w:val="both"/>
      </w:pPr>
      <w:r>
        <w:rPr>
          <w:sz w:val="20"/>
        </w:rPr>
        <w:t xml:space="preserve">В целях стимулирования налогоплательщиков к обновлению основных фондов с 1 января 2021 года действует новая преференция - инвестиционный налоговый вычет по налогу на прибыль:</w:t>
      </w:r>
    </w:p>
    <w:p>
      <w:pPr>
        <w:pStyle w:val="0"/>
        <w:spacing w:before="200" w:line-rule="auto"/>
        <w:ind w:firstLine="540"/>
        <w:jc w:val="both"/>
      </w:pPr>
      <w:r>
        <w:rPr>
          <w:sz w:val="20"/>
        </w:rPr>
        <w:t xml:space="preserve">- для организаций, реализующих на территории области инвестиционные проекты;</w:t>
      </w:r>
    </w:p>
    <w:p>
      <w:pPr>
        <w:pStyle w:val="0"/>
        <w:spacing w:before="200" w:line-rule="auto"/>
        <w:ind w:firstLine="540"/>
        <w:jc w:val="both"/>
      </w:pPr>
      <w:r>
        <w:rPr>
          <w:sz w:val="20"/>
        </w:rPr>
        <w:t xml:space="preserve">- для организаций - участников национального проекта "Производительность труда и поддержка занятости";</w:t>
      </w:r>
    </w:p>
    <w:p>
      <w:pPr>
        <w:pStyle w:val="0"/>
        <w:spacing w:before="200" w:line-rule="auto"/>
        <w:ind w:firstLine="540"/>
        <w:jc w:val="both"/>
      </w:pPr>
      <w:r>
        <w:rPr>
          <w:sz w:val="20"/>
        </w:rPr>
        <w:t xml:space="preserve">- для организаций, являющихся стороной соглашения о государственно-частном партнерстве, муниципально-частном партнерстве.</w:t>
      </w:r>
    </w:p>
    <w:p>
      <w:pPr>
        <w:pStyle w:val="0"/>
        <w:spacing w:before="200" w:line-rule="auto"/>
        <w:ind w:firstLine="540"/>
        <w:jc w:val="both"/>
      </w:pPr>
      <w:r>
        <w:rPr>
          <w:sz w:val="20"/>
        </w:rPr>
        <w:t xml:space="preserve">По данным Управления Федеральной налоговой службы по Владимирской области в 2021 году воспользовались инвестиционным налоговым вычетом 6 организаций области на сумму 936,8 млн. рублей, в 1 квартале 2022 года - 7 налогоплательщиков на сумму 888,5 млн. рублей. Среди них инвестиционный налоговый вычет по налогу на прибыль получили в текущем году: ООО "МОН'ДЭЛИС РУСЬ", ЗАО "МУРОМ", ООО "ДЕКОРСТАЙЛГЛАСС", ООО "МАГИСТРАЛЬ ЛТД" и другие.</w:t>
      </w:r>
    </w:p>
    <w:p>
      <w:pPr>
        <w:pStyle w:val="0"/>
        <w:spacing w:before="200" w:line-rule="auto"/>
        <w:ind w:firstLine="540"/>
        <w:jc w:val="both"/>
      </w:pPr>
      <w:r>
        <w:rPr>
          <w:sz w:val="20"/>
        </w:rPr>
        <w:t xml:space="preserve">В 2021 году продолжена реализация следующих крупных инвестиционных проектов:</w:t>
      </w:r>
    </w:p>
    <w:p>
      <w:pPr>
        <w:pStyle w:val="0"/>
        <w:spacing w:before="200" w:line-rule="auto"/>
        <w:ind w:firstLine="540"/>
        <w:jc w:val="both"/>
      </w:pPr>
      <w:r>
        <w:rPr>
          <w:sz w:val="20"/>
        </w:rPr>
        <w:t xml:space="preserve">- строительство 2-й очереди дата-центра ООО "Яндекс ДЦ Владимир";</w:t>
      </w:r>
    </w:p>
    <w:p>
      <w:pPr>
        <w:pStyle w:val="0"/>
        <w:spacing w:before="200" w:line-rule="auto"/>
        <w:ind w:firstLine="540"/>
        <w:jc w:val="both"/>
      </w:pPr>
      <w:r>
        <w:rPr>
          <w:sz w:val="20"/>
        </w:rPr>
        <w:t xml:space="preserve">- расширение действующего производства фармацевтической продукции, а также строительство склада и котельной ООО "Лекко";</w:t>
      </w:r>
    </w:p>
    <w:p>
      <w:pPr>
        <w:pStyle w:val="0"/>
        <w:spacing w:before="200" w:line-rule="auto"/>
        <w:ind w:firstLine="540"/>
        <w:jc w:val="both"/>
      </w:pPr>
      <w:r>
        <w:rPr>
          <w:sz w:val="20"/>
        </w:rPr>
        <w:t xml:space="preserve">- производство электросварных труб ООО "НТС-Лидер";</w:t>
      </w:r>
    </w:p>
    <w:p>
      <w:pPr>
        <w:pStyle w:val="0"/>
        <w:spacing w:before="200" w:line-rule="auto"/>
        <w:ind w:firstLine="540"/>
        <w:jc w:val="both"/>
      </w:pPr>
      <w:r>
        <w:rPr>
          <w:sz w:val="20"/>
        </w:rPr>
        <w:t xml:space="preserve">- строительство дополнительного цеха для расширения производства биологических препаратов АО "Генериум";</w:t>
      </w:r>
    </w:p>
    <w:p>
      <w:pPr>
        <w:pStyle w:val="0"/>
        <w:spacing w:before="200" w:line-rule="auto"/>
        <w:ind w:firstLine="540"/>
        <w:jc w:val="both"/>
      </w:pPr>
      <w:r>
        <w:rPr>
          <w:sz w:val="20"/>
        </w:rPr>
        <w:t xml:space="preserve">- строительство завода по производству мяса утки ООО "УК "Русское поле";</w:t>
      </w:r>
    </w:p>
    <w:p>
      <w:pPr>
        <w:pStyle w:val="0"/>
        <w:spacing w:before="200" w:line-rule="auto"/>
        <w:ind w:firstLine="540"/>
        <w:jc w:val="both"/>
      </w:pPr>
      <w:r>
        <w:rPr>
          <w:sz w:val="20"/>
        </w:rPr>
        <w:t xml:space="preserve">- развитие мясоперерабатывающего комплекса МПК "Владимирский стандарт";</w:t>
      </w:r>
    </w:p>
    <w:p>
      <w:pPr>
        <w:pStyle w:val="0"/>
        <w:spacing w:before="200" w:line-rule="auto"/>
        <w:ind w:firstLine="540"/>
        <w:jc w:val="both"/>
      </w:pPr>
      <w:r>
        <w:rPr>
          <w:sz w:val="20"/>
        </w:rPr>
        <w:t xml:space="preserve">- расширение действующего производства, открытие новой линии по производству кондитерских изделий ООО "Мон'дэлис Русь";</w:t>
      </w:r>
    </w:p>
    <w:p>
      <w:pPr>
        <w:pStyle w:val="0"/>
        <w:spacing w:before="200" w:line-rule="auto"/>
        <w:ind w:firstLine="540"/>
        <w:jc w:val="both"/>
      </w:pPr>
      <w:r>
        <w:rPr>
          <w:sz w:val="20"/>
        </w:rPr>
        <w:t xml:space="preserve">- модернизация производственных мощностей и строительство новой линии ламинированной черепицы ООО "Деке Хоум Системс";</w:t>
      </w:r>
    </w:p>
    <w:p>
      <w:pPr>
        <w:pStyle w:val="0"/>
        <w:spacing w:before="200" w:line-rule="auto"/>
        <w:ind w:firstLine="540"/>
        <w:jc w:val="both"/>
      </w:pPr>
      <w:r>
        <w:rPr>
          <w:sz w:val="20"/>
        </w:rPr>
        <w:t xml:space="preserve">- строительство цеха холодного проката стали ООО "Объединенная компания "Рустехнологии Муром";</w:t>
      </w:r>
    </w:p>
    <w:p>
      <w:pPr>
        <w:pStyle w:val="0"/>
        <w:spacing w:before="200" w:line-rule="auto"/>
        <w:ind w:firstLine="540"/>
        <w:jc w:val="both"/>
      </w:pPr>
      <w:r>
        <w:rPr>
          <w:sz w:val="20"/>
        </w:rPr>
        <w:t xml:space="preserve">- строительство линии по производству линолеума по упрощенной технологии на основе нетканого полотна из полиэстера и защитной пленки с печатным дизайном ООО "Ютекс Ру";</w:t>
      </w:r>
    </w:p>
    <w:p>
      <w:pPr>
        <w:pStyle w:val="0"/>
        <w:spacing w:before="200" w:line-rule="auto"/>
        <w:ind w:firstLine="540"/>
        <w:jc w:val="both"/>
      </w:pPr>
      <w:r>
        <w:rPr>
          <w:sz w:val="20"/>
        </w:rPr>
        <w:t xml:space="preserve">- модернизация текстильного производства ООО "Авангард";</w:t>
      </w:r>
    </w:p>
    <w:p>
      <w:pPr>
        <w:pStyle w:val="0"/>
        <w:spacing w:before="200" w:line-rule="auto"/>
        <w:ind w:firstLine="540"/>
        <w:jc w:val="both"/>
      </w:pPr>
      <w:r>
        <w:rPr>
          <w:sz w:val="20"/>
        </w:rPr>
        <w:t xml:space="preserve">- строительство завода по производству электросварных профильных труб АО "Уральский капитал";</w:t>
      </w:r>
    </w:p>
    <w:p>
      <w:pPr>
        <w:pStyle w:val="0"/>
        <w:spacing w:before="200" w:line-rule="auto"/>
        <w:ind w:firstLine="540"/>
        <w:jc w:val="both"/>
      </w:pPr>
      <w:r>
        <w:rPr>
          <w:sz w:val="20"/>
        </w:rPr>
        <w:t xml:space="preserve">- строительство завода по производству безглютеновой продукции ООО "Гарнец";</w:t>
      </w:r>
    </w:p>
    <w:p>
      <w:pPr>
        <w:pStyle w:val="0"/>
        <w:spacing w:before="200" w:line-rule="auto"/>
        <w:ind w:firstLine="540"/>
        <w:jc w:val="both"/>
      </w:pPr>
      <w:r>
        <w:rPr>
          <w:sz w:val="20"/>
        </w:rPr>
        <w:t xml:space="preserve">- реконструкция и модернизация цеха по производству хлебобулочных изделий АО "Владимирский хлебокомбинат";</w:t>
      </w:r>
    </w:p>
    <w:p>
      <w:pPr>
        <w:pStyle w:val="0"/>
        <w:spacing w:before="200" w:line-rule="auto"/>
        <w:ind w:firstLine="540"/>
        <w:jc w:val="both"/>
      </w:pPr>
      <w:r>
        <w:rPr>
          <w:sz w:val="20"/>
        </w:rPr>
        <w:t xml:space="preserve">- строительство комбикормового завода ЗАО "Имени Ленина";</w:t>
      </w:r>
    </w:p>
    <w:p>
      <w:pPr>
        <w:pStyle w:val="0"/>
        <w:spacing w:before="200" w:line-rule="auto"/>
        <w:ind w:firstLine="540"/>
        <w:jc w:val="both"/>
      </w:pPr>
      <w:r>
        <w:rPr>
          <w:sz w:val="20"/>
        </w:rPr>
        <w:t xml:space="preserve">- строительство завода по производству метизных изделий ООО "Альфа - Крепёж";</w:t>
      </w:r>
    </w:p>
    <w:p>
      <w:pPr>
        <w:pStyle w:val="0"/>
        <w:spacing w:before="200" w:line-rule="auto"/>
        <w:ind w:firstLine="540"/>
        <w:jc w:val="both"/>
      </w:pPr>
      <w:r>
        <w:rPr>
          <w:sz w:val="20"/>
        </w:rPr>
        <w:t xml:space="preserve">- строительство комплекса на 600 голов дойного стада и телятника на 700 голов АО "Шихобалово";</w:t>
      </w:r>
    </w:p>
    <w:p>
      <w:pPr>
        <w:pStyle w:val="0"/>
        <w:spacing w:before="200" w:line-rule="auto"/>
        <w:ind w:firstLine="540"/>
        <w:jc w:val="both"/>
      </w:pPr>
      <w:r>
        <w:rPr>
          <w:sz w:val="20"/>
        </w:rPr>
        <w:t xml:space="preserve">- развитие действующего предприятия ООО "Аскона-Век";</w:t>
      </w:r>
    </w:p>
    <w:p>
      <w:pPr>
        <w:pStyle w:val="0"/>
        <w:spacing w:before="200" w:line-rule="auto"/>
        <w:ind w:firstLine="540"/>
        <w:jc w:val="both"/>
      </w:pPr>
      <w:r>
        <w:rPr>
          <w:sz w:val="20"/>
        </w:rPr>
        <w:t xml:space="preserve">- развитие промышленного технопарка инженерных, климатических систем и электроники (промышленный технопарк "ИКСЭл") ООО "Индастриал Платформ Групп Клима";</w:t>
      </w:r>
    </w:p>
    <w:p>
      <w:pPr>
        <w:pStyle w:val="0"/>
        <w:spacing w:before="200" w:line-rule="auto"/>
        <w:ind w:firstLine="540"/>
        <w:jc w:val="both"/>
      </w:pPr>
      <w:r>
        <w:rPr>
          <w:sz w:val="20"/>
        </w:rPr>
        <w:t xml:space="preserve">- строительство 2-й очереди научно-производственного комплекса по выпуску автобусов и линии серийной сборки электробусов ООО "Бакулин Моторс Групп";</w:t>
      </w:r>
    </w:p>
    <w:p>
      <w:pPr>
        <w:pStyle w:val="0"/>
        <w:spacing w:before="200" w:line-rule="auto"/>
        <w:ind w:firstLine="540"/>
        <w:jc w:val="both"/>
      </w:pPr>
      <w:r>
        <w:rPr>
          <w:sz w:val="20"/>
        </w:rPr>
        <w:t xml:space="preserve">- расширение производственных мощностей по выпуску колбасных изделий ЗАО "Стародворские колбасы";</w:t>
      </w:r>
    </w:p>
    <w:p>
      <w:pPr>
        <w:pStyle w:val="0"/>
        <w:spacing w:before="200" w:line-rule="auto"/>
        <w:ind w:firstLine="540"/>
        <w:jc w:val="both"/>
      </w:pPr>
      <w:r>
        <w:rPr>
          <w:sz w:val="20"/>
        </w:rPr>
        <w:t xml:space="preserve">- развитие и расширение производственных мощностей кондитерской фабрики, модернизация линий Нутелла, Киндер Шоколад, Рафаэлло ЗАО "Ферреро Руссия";</w:t>
      </w:r>
    </w:p>
    <w:p>
      <w:pPr>
        <w:pStyle w:val="0"/>
        <w:spacing w:before="200" w:line-rule="auto"/>
        <w:ind w:firstLine="540"/>
        <w:jc w:val="both"/>
      </w:pPr>
      <w:r>
        <w:rPr>
          <w:sz w:val="20"/>
        </w:rPr>
        <w:t xml:space="preserve">- создание производства тракторов 2-го тягового класса ANT - 4135F АО "КЭМЗ";</w:t>
      </w:r>
    </w:p>
    <w:p>
      <w:pPr>
        <w:pStyle w:val="0"/>
        <w:spacing w:before="200" w:line-rule="auto"/>
        <w:ind w:firstLine="540"/>
        <w:jc w:val="both"/>
      </w:pPr>
      <w:r>
        <w:rPr>
          <w:sz w:val="20"/>
        </w:rPr>
        <w:t xml:space="preserve">- строительство завода по производству радиаторов ООО "Роял Термо Рус";</w:t>
      </w:r>
    </w:p>
    <w:p>
      <w:pPr>
        <w:pStyle w:val="0"/>
        <w:spacing w:before="200" w:line-rule="auto"/>
        <w:ind w:firstLine="540"/>
        <w:jc w:val="both"/>
      </w:pPr>
      <w:r>
        <w:rPr>
          <w:sz w:val="20"/>
        </w:rPr>
        <w:t xml:space="preserve">- модернизация завода "ТОЧМАШ", увеличение производственных мощностей ООО "ИТКОЛ-сервеинг";</w:t>
      </w:r>
    </w:p>
    <w:p>
      <w:pPr>
        <w:pStyle w:val="0"/>
        <w:spacing w:before="200" w:line-rule="auto"/>
        <w:ind w:firstLine="540"/>
        <w:jc w:val="both"/>
      </w:pPr>
      <w:r>
        <w:rPr>
          <w:sz w:val="20"/>
        </w:rPr>
        <w:t xml:space="preserve">- строительство логистического центра на территории индустриального парка "ОКА" ООО "БАКШТАГ";</w:t>
      </w:r>
    </w:p>
    <w:p>
      <w:pPr>
        <w:pStyle w:val="0"/>
        <w:spacing w:before="200" w:line-rule="auto"/>
        <w:ind w:firstLine="540"/>
        <w:jc w:val="both"/>
      </w:pPr>
      <w:r>
        <w:rPr>
          <w:sz w:val="20"/>
        </w:rPr>
        <w:t xml:space="preserve">- строительство мясоперерабатывающего комплекса мощностью 8 тонн в смену ООО "ПродСервис";</w:t>
      </w:r>
    </w:p>
    <w:p>
      <w:pPr>
        <w:pStyle w:val="0"/>
        <w:spacing w:before="200" w:line-rule="auto"/>
        <w:ind w:firstLine="540"/>
        <w:jc w:val="both"/>
      </w:pPr>
      <w:r>
        <w:rPr>
          <w:sz w:val="20"/>
        </w:rPr>
        <w:t xml:space="preserve">- строительство производственного комплекса на территории индустриального парка ПАО "Ставровский завод АТО" организацией АО "Ставровский завод автотракторного оборудования".</w:t>
      </w:r>
    </w:p>
    <w:p>
      <w:pPr>
        <w:pStyle w:val="0"/>
        <w:spacing w:before="200" w:line-rule="auto"/>
        <w:ind w:firstLine="540"/>
        <w:jc w:val="both"/>
      </w:pPr>
      <w:r>
        <w:rPr>
          <w:sz w:val="20"/>
        </w:rPr>
        <w:t xml:space="preserve">В 2021 году государственную поддержку при реализации одобренных инвестиционных проектов получили 16 организаций области. Оценочно сумма государственной поддержки в результате предоставления налоговых льгот составила 358,9 млн. рублей, в том числе по налогу на прибыль - 213,6 млн. рублей, по налогу на имущество - 145,3 млн. рублей. Организациями - инвесторами уплачено налогов в 2021 году в консолидированный бюджет области на сумму более 3 млрд. рублей, во внебюджетные фонды - 1,7 млрд. рублей, экспортных и импортных пошлин - 1,9 млрд. рублей.</w:t>
      </w:r>
    </w:p>
    <w:p>
      <w:pPr>
        <w:pStyle w:val="0"/>
        <w:spacing w:before="200" w:line-rule="auto"/>
        <w:ind w:firstLine="540"/>
        <w:jc w:val="both"/>
      </w:pPr>
      <w:r>
        <w:rPr>
          <w:sz w:val="20"/>
        </w:rPr>
        <w:t xml:space="preserve">Объем осуществленных инвестиций, направленных на реализацию одобренных инвестиционных проектов, составил 18,7 млрд. рублей (нарастающий итог с начала реализации инвестиционных проектов).</w:t>
      </w:r>
    </w:p>
    <w:p>
      <w:pPr>
        <w:pStyle w:val="0"/>
        <w:spacing w:before="200" w:line-rule="auto"/>
        <w:ind w:firstLine="540"/>
        <w:jc w:val="both"/>
      </w:pPr>
      <w:r>
        <w:rPr>
          <w:sz w:val="20"/>
        </w:rPr>
        <w:t xml:space="preserve">Новые производства обеспечивают ежегодный прирост высокопроизводительных рабочих мест с достойным уровнем заработной платы (на уровне или выше среднего по области), создавая положительный социальный эффект от реализации инвестиционных проектов.</w:t>
      </w:r>
    </w:p>
    <w:p>
      <w:pPr>
        <w:pStyle w:val="0"/>
        <w:spacing w:before="200" w:line-rule="auto"/>
        <w:ind w:firstLine="540"/>
        <w:jc w:val="both"/>
      </w:pPr>
      <w:r>
        <w:rPr>
          <w:sz w:val="20"/>
        </w:rPr>
        <w:t xml:space="preserve">В целом в развитие экономики области в виде налоговых расходов направлено 8618 млн. рублей (льготы, преференции и налоговые вычеты).</w:t>
      </w:r>
    </w:p>
    <w:p>
      <w:pPr>
        <w:pStyle w:val="0"/>
        <w:spacing w:before="200" w:line-rule="auto"/>
        <w:ind w:firstLine="540"/>
        <w:jc w:val="both"/>
      </w:pPr>
      <w:r>
        <w:rPr>
          <w:sz w:val="20"/>
        </w:rPr>
        <w:t xml:space="preserve">Особое внимание в области уделяется поддержке представителей малого и среднего бизнеса.</w:t>
      </w:r>
    </w:p>
    <w:p>
      <w:pPr>
        <w:pStyle w:val="0"/>
        <w:spacing w:before="200" w:line-rule="auto"/>
        <w:ind w:firstLine="540"/>
        <w:jc w:val="both"/>
      </w:pPr>
      <w:r>
        <w:rPr>
          <w:sz w:val="20"/>
        </w:rPr>
        <w:t xml:space="preserve">В прошедшем году на поддержку малого и среднего бизнеса направлено 687,5 млн. рублей. Всего за 2021 год получили поддержку более 7800 субъектов малого и среднего предпринимательства, ими создано 820 новых рабочих мест.</w:t>
      </w:r>
    </w:p>
    <w:p>
      <w:pPr>
        <w:pStyle w:val="0"/>
        <w:spacing w:before="200" w:line-rule="auto"/>
        <w:ind w:firstLine="540"/>
        <w:jc w:val="both"/>
      </w:pPr>
      <w:r>
        <w:rPr>
          <w:sz w:val="20"/>
        </w:rPr>
        <w:t xml:space="preserve">С 1 июля 2020 года </w:t>
      </w:r>
      <w:hyperlink w:history="0" r:id="rId26" w:tooltip="Закон Владимирской области от 29.05.2020 N 37-ОЗ &quot;О введении в действие на территории Владимирской области специального налогового режима &quot;Налог на профессиональный доход&quot; (принят постановлением ЗС Владимирской области от 28.05.2020 N 135) {КонсультантПлюс}">
        <w:r>
          <w:rPr>
            <w:sz w:val="20"/>
            <w:color w:val="0000ff"/>
          </w:rPr>
          <w:t xml:space="preserve">Законом</w:t>
        </w:r>
      </w:hyperlink>
      <w:r>
        <w:rPr>
          <w:sz w:val="20"/>
        </w:rPr>
        <w:t xml:space="preserve"> области от 29 мая 2020 года N 37-ОЗ на территории Владимирской области введен налог на профессиональный доход, который направлен на предоставление наиболее широкому кругу граждан возможности вести предпринимательскую деятельность в наиболее комфортных условиях, выбрав систему налогообложения в виде налога на профессиональный доход. На учет в качестве налогоплательщиков поставлены 22 тысячи граждан области. Ежемесячный прирост количества налогоплательщиков составляет в среднем 1400 человек. В 2021 году налог на профессиональный доход зачислен в областной бюджет в объеме 51 млн. рублей, это в 7 раз больше чем в 2020 году. Востребованность данного режима налогообложения объясняется тем, что он предоставляет "самозанятым" гражданам право легализовать свою предпринимательскую деятельность с минимальными издержками и вести ее в дальнейшем в наиболее простом и необременительном режиме (онлайн-регистрация, не требующая личного присутствия; отсутствие отчетности; ведение деятельности без применения контрольно-кассовой техники).</w:t>
      </w:r>
    </w:p>
    <w:p>
      <w:pPr>
        <w:pStyle w:val="0"/>
        <w:spacing w:before="200" w:line-rule="auto"/>
        <w:ind w:firstLine="540"/>
        <w:jc w:val="both"/>
      </w:pPr>
      <w:r>
        <w:rPr>
          <w:sz w:val="20"/>
        </w:rPr>
        <w:t xml:space="preserve">Одним из направлений работы по росту доходного потенциала области является реализация мер по повышению эффективности налогового администрирования.</w:t>
      </w:r>
    </w:p>
    <w:p>
      <w:pPr>
        <w:pStyle w:val="0"/>
        <w:spacing w:before="200" w:line-rule="auto"/>
        <w:ind w:firstLine="540"/>
        <w:jc w:val="both"/>
      </w:pPr>
      <w:r>
        <w:rPr>
          <w:sz w:val="20"/>
        </w:rPr>
        <w:t xml:space="preserve">В области принимаются меры по легализации "теневой" заработной платы. По итогам 2021 года проведена индивидуальная работа с 748 работодателями, имеющими задолженность по налогу на доходы физических лиц. Дополнительно поступило в бюджет области налога в сумме 90,8 млн. рублей. Проведена работа с налоговыми агентами, которые выплачивают заработную плату ниже среднего показателя по виду экономической деятельности и ниже минимального размера оплаты труда. По итогам проведенной индивидуальной работы дополнительно поступило в бюджет области налога на доходы физических лиц в сумме 82,8 млн. рублей.</w:t>
      </w:r>
    </w:p>
    <w:p>
      <w:pPr>
        <w:pStyle w:val="0"/>
        <w:spacing w:before="200" w:line-rule="auto"/>
        <w:ind w:firstLine="540"/>
        <w:jc w:val="both"/>
      </w:pPr>
      <w:r>
        <w:rPr>
          <w:sz w:val="20"/>
        </w:rPr>
        <w:t xml:space="preserve">В 2021 году продолжена работа по реализации мероприятий, предусмотренных "дорожными картами", разработанными межведомственной рабочей группой по координации мероприятий по повышению роли местных налогов в формировании местных бюджетов. В результате уточнения органами местного самоуправления сведений в отношении земельных участков и объектов недвижимости за 2021 год вовлечено в налоговый оборот 38 тысяч объектов недвижимости (29 тысяч земельных участков и 9 тысяч объектов недвижимости). В результате налоговыми органами дополнительно начислено земельного налога в сумме 1,2 млн. рублей, налога на имущество физических лиц - 0,5 млн. рублей.</w:t>
      </w:r>
    </w:p>
    <w:p>
      <w:pPr>
        <w:pStyle w:val="0"/>
        <w:spacing w:before="200" w:line-rule="auto"/>
        <w:ind w:firstLine="540"/>
        <w:jc w:val="both"/>
      </w:pPr>
      <w:r>
        <w:rPr>
          <w:sz w:val="20"/>
        </w:rPr>
        <w:t xml:space="preserve">В ходе проведенных органами местного самоуправления в 2021 году рейдовых мероприятий с участием налоговых органов было выявлено 1267 объектов недвижимости, не поставленных на кадастровый и налоговый учеты. В отношении 340 объектов зарегистрированы права собственности на недвижимое имущество.</w:t>
      </w:r>
    </w:p>
    <w:p>
      <w:pPr>
        <w:pStyle w:val="0"/>
        <w:spacing w:before="200" w:line-rule="auto"/>
        <w:ind w:firstLine="540"/>
        <w:jc w:val="both"/>
      </w:pPr>
      <w:r>
        <w:rPr>
          <w:sz w:val="20"/>
        </w:rPr>
        <w:t xml:space="preserve">В целях повышения уровня собираемости имущественных налогов с физических лиц, а также предоставления жителям региона возможности получить необходимые консультации по вопросам исчисления налогов в области организована работа "мобильных офисов" по уплате гражданами налогов на территории сельских населенных пунктов. В 2021 году по результатам выезда "мобильных офисов" физическими лицами уплачено налоговых платежей на сумму 576,1 тыс. рублей.</w:t>
      </w:r>
    </w:p>
    <w:p>
      <w:pPr>
        <w:pStyle w:val="0"/>
        <w:spacing w:before="200" w:line-rule="auto"/>
        <w:ind w:firstLine="540"/>
        <w:jc w:val="both"/>
      </w:pPr>
      <w:r>
        <w:rPr>
          <w:sz w:val="20"/>
        </w:rPr>
        <w:t xml:space="preserve">В результате реализации налоговой политики объем поступлений налоговых и неналоговых доходов в консолидированный бюджет области составил в 2021 году 80084,8 млн. рублей, или 127,5% к 2020 году (таблица 1).</w:t>
      </w:r>
    </w:p>
    <w:p>
      <w:pPr>
        <w:pStyle w:val="0"/>
        <w:jc w:val="both"/>
      </w:pPr>
      <w:r>
        <w:rPr>
          <w:sz w:val="20"/>
        </w:rPr>
      </w:r>
    </w:p>
    <w:p>
      <w:pPr>
        <w:pStyle w:val="0"/>
        <w:outlineLvl w:val="2"/>
        <w:jc w:val="right"/>
      </w:pPr>
      <w:r>
        <w:rPr>
          <w:sz w:val="20"/>
        </w:rPr>
        <w:t xml:space="preserve">Таблица 1</w:t>
      </w:r>
    </w:p>
    <w:p>
      <w:pPr>
        <w:pStyle w:val="0"/>
        <w:jc w:val="both"/>
      </w:pPr>
      <w:r>
        <w:rPr>
          <w:sz w:val="20"/>
        </w:rPr>
      </w:r>
    </w:p>
    <w:p>
      <w:pPr>
        <w:pStyle w:val="2"/>
        <w:jc w:val="center"/>
      </w:pPr>
      <w:r>
        <w:rPr>
          <w:sz w:val="20"/>
        </w:rPr>
        <w:t xml:space="preserve">Поступление</w:t>
      </w:r>
    </w:p>
    <w:p>
      <w:pPr>
        <w:pStyle w:val="2"/>
        <w:jc w:val="center"/>
      </w:pPr>
      <w:r>
        <w:rPr>
          <w:sz w:val="20"/>
        </w:rPr>
        <w:t xml:space="preserve">налоговых и неналоговых доходов в консолидированный бюджет</w:t>
      </w:r>
    </w:p>
    <w:p>
      <w:pPr>
        <w:pStyle w:val="2"/>
        <w:jc w:val="center"/>
      </w:pPr>
      <w:r>
        <w:rPr>
          <w:sz w:val="20"/>
        </w:rPr>
        <w:t xml:space="preserve">области за 2021 год</w:t>
      </w:r>
    </w:p>
    <w:p>
      <w:pPr>
        <w:pStyle w:val="0"/>
        <w:jc w:val="both"/>
      </w:pPr>
      <w:r>
        <w:rPr>
          <w:sz w:val="20"/>
        </w:rPr>
      </w:r>
    </w:p>
    <w:p>
      <w:pPr>
        <w:pStyle w:val="0"/>
        <w:jc w:val="right"/>
      </w:pPr>
      <w:r>
        <w:rPr>
          <w:sz w:val="20"/>
        </w:rPr>
        <w:t xml:space="preserve">млн.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416"/>
        <w:gridCol w:w="1416"/>
        <w:gridCol w:w="1416"/>
        <w:gridCol w:w="1416"/>
        <w:gridCol w:w="1419"/>
      </w:tblGrid>
      <w:tr>
        <w:tc>
          <w:tcPr>
            <w:tcW w:w="1984" w:type="dxa"/>
            <w:vMerge w:val="restart"/>
          </w:tcPr>
          <w:p>
            <w:pPr>
              <w:pStyle w:val="0"/>
              <w:jc w:val="center"/>
            </w:pPr>
            <w:r>
              <w:rPr>
                <w:sz w:val="20"/>
              </w:rPr>
              <w:t xml:space="preserve">Показатели</w:t>
            </w:r>
          </w:p>
        </w:tc>
        <w:tc>
          <w:tcPr>
            <w:tcW w:w="1416" w:type="dxa"/>
            <w:vMerge w:val="restart"/>
          </w:tcPr>
          <w:p>
            <w:pPr>
              <w:pStyle w:val="0"/>
              <w:jc w:val="center"/>
            </w:pPr>
            <w:r>
              <w:rPr>
                <w:sz w:val="20"/>
              </w:rPr>
              <w:t xml:space="preserve">Исполнено за 2020 год</w:t>
            </w:r>
          </w:p>
        </w:tc>
        <w:tc>
          <w:tcPr>
            <w:tcW w:w="1416" w:type="dxa"/>
            <w:vMerge w:val="restart"/>
          </w:tcPr>
          <w:p>
            <w:pPr>
              <w:pStyle w:val="0"/>
              <w:jc w:val="center"/>
            </w:pPr>
            <w:r>
              <w:rPr>
                <w:sz w:val="20"/>
              </w:rPr>
              <w:t xml:space="preserve">Уточненный план на 2021 год</w:t>
            </w:r>
          </w:p>
        </w:tc>
        <w:tc>
          <w:tcPr>
            <w:tcW w:w="1416" w:type="dxa"/>
            <w:vMerge w:val="restart"/>
          </w:tcPr>
          <w:p>
            <w:pPr>
              <w:pStyle w:val="0"/>
              <w:jc w:val="center"/>
            </w:pPr>
            <w:r>
              <w:rPr>
                <w:sz w:val="20"/>
              </w:rPr>
              <w:t xml:space="preserve">Исполнено за 2021 год</w:t>
            </w:r>
          </w:p>
        </w:tc>
        <w:tc>
          <w:tcPr>
            <w:gridSpan w:val="2"/>
            <w:tcW w:w="2835" w:type="dxa"/>
          </w:tcPr>
          <w:p>
            <w:pPr>
              <w:pStyle w:val="0"/>
              <w:jc w:val="center"/>
            </w:pPr>
            <w:r>
              <w:rPr>
                <w:sz w:val="20"/>
              </w:rPr>
              <w:t xml:space="preserve">% исполнения факта 2021 года</w:t>
            </w:r>
          </w:p>
        </w:tc>
      </w:tr>
      <w:tr>
        <w:tc>
          <w:tcPr>
            <w:vMerge w:val="continue"/>
          </w:tcPr>
          <w:p/>
        </w:tc>
        <w:tc>
          <w:tcPr>
            <w:vMerge w:val="continue"/>
          </w:tcPr>
          <w:p/>
        </w:tc>
        <w:tc>
          <w:tcPr>
            <w:vMerge w:val="continue"/>
          </w:tcPr>
          <w:p/>
        </w:tc>
        <w:tc>
          <w:tcPr>
            <w:vMerge w:val="continue"/>
          </w:tcPr>
          <w:p/>
        </w:tc>
        <w:tc>
          <w:tcPr>
            <w:tcW w:w="1416" w:type="dxa"/>
          </w:tcPr>
          <w:p>
            <w:pPr>
              <w:pStyle w:val="0"/>
              <w:jc w:val="center"/>
            </w:pPr>
            <w:r>
              <w:rPr>
                <w:sz w:val="20"/>
              </w:rPr>
              <w:t xml:space="preserve">к уточненному плану на 2021 год</w:t>
            </w:r>
          </w:p>
        </w:tc>
        <w:tc>
          <w:tcPr>
            <w:tcW w:w="1419" w:type="dxa"/>
          </w:tcPr>
          <w:p>
            <w:pPr>
              <w:pStyle w:val="0"/>
              <w:jc w:val="center"/>
            </w:pPr>
            <w:r>
              <w:rPr>
                <w:sz w:val="20"/>
              </w:rPr>
              <w:t xml:space="preserve">к 2020 году</w:t>
            </w:r>
          </w:p>
        </w:tc>
      </w:tr>
      <w:tr>
        <w:tc>
          <w:tcPr>
            <w:tcW w:w="1984" w:type="dxa"/>
          </w:tcPr>
          <w:p>
            <w:pPr>
              <w:pStyle w:val="0"/>
              <w:jc w:val="center"/>
            </w:pPr>
            <w:r>
              <w:rPr>
                <w:sz w:val="20"/>
              </w:rPr>
              <w:t xml:space="preserve">1</w:t>
            </w:r>
          </w:p>
        </w:tc>
        <w:tc>
          <w:tcPr>
            <w:tcW w:w="1416" w:type="dxa"/>
          </w:tcPr>
          <w:p>
            <w:pPr>
              <w:pStyle w:val="0"/>
              <w:jc w:val="center"/>
            </w:pPr>
            <w:r>
              <w:rPr>
                <w:sz w:val="20"/>
              </w:rPr>
              <w:t xml:space="preserve">2</w:t>
            </w:r>
          </w:p>
        </w:tc>
        <w:tc>
          <w:tcPr>
            <w:tcW w:w="1416" w:type="dxa"/>
          </w:tcPr>
          <w:p>
            <w:pPr>
              <w:pStyle w:val="0"/>
              <w:jc w:val="center"/>
            </w:pPr>
            <w:r>
              <w:rPr>
                <w:sz w:val="20"/>
              </w:rPr>
              <w:t xml:space="preserve">3</w:t>
            </w:r>
          </w:p>
        </w:tc>
        <w:tc>
          <w:tcPr>
            <w:tcW w:w="1416" w:type="dxa"/>
          </w:tcPr>
          <w:p>
            <w:pPr>
              <w:pStyle w:val="0"/>
              <w:jc w:val="center"/>
            </w:pPr>
            <w:r>
              <w:rPr>
                <w:sz w:val="20"/>
              </w:rPr>
              <w:t xml:space="preserve">4</w:t>
            </w:r>
          </w:p>
        </w:tc>
        <w:tc>
          <w:tcPr>
            <w:tcW w:w="1416" w:type="dxa"/>
          </w:tcPr>
          <w:p>
            <w:pPr>
              <w:pStyle w:val="0"/>
              <w:jc w:val="center"/>
            </w:pPr>
            <w:r>
              <w:rPr>
                <w:sz w:val="20"/>
              </w:rPr>
              <w:t xml:space="preserve">5</w:t>
            </w:r>
          </w:p>
        </w:tc>
        <w:tc>
          <w:tcPr>
            <w:tcW w:w="1419" w:type="dxa"/>
          </w:tcPr>
          <w:p>
            <w:pPr>
              <w:pStyle w:val="0"/>
              <w:jc w:val="center"/>
            </w:pPr>
            <w:r>
              <w:rPr>
                <w:sz w:val="20"/>
              </w:rPr>
              <w:t xml:space="preserve">6</w:t>
            </w:r>
          </w:p>
        </w:tc>
      </w:tr>
      <w:tr>
        <w:tc>
          <w:tcPr>
            <w:tcW w:w="1984" w:type="dxa"/>
          </w:tcPr>
          <w:p>
            <w:pPr>
              <w:pStyle w:val="0"/>
            </w:pPr>
            <w:r>
              <w:rPr>
                <w:sz w:val="20"/>
              </w:rPr>
              <w:t xml:space="preserve">Налоговые и неналоговые доходы, всего</w:t>
            </w:r>
          </w:p>
        </w:tc>
        <w:tc>
          <w:tcPr>
            <w:tcW w:w="1416" w:type="dxa"/>
          </w:tcPr>
          <w:p>
            <w:pPr>
              <w:pStyle w:val="0"/>
              <w:jc w:val="center"/>
            </w:pPr>
            <w:r>
              <w:rPr>
                <w:sz w:val="20"/>
              </w:rPr>
              <w:t xml:space="preserve">62827,8</w:t>
            </w:r>
          </w:p>
        </w:tc>
        <w:tc>
          <w:tcPr>
            <w:tcW w:w="1416" w:type="dxa"/>
          </w:tcPr>
          <w:p>
            <w:pPr>
              <w:pStyle w:val="0"/>
              <w:jc w:val="center"/>
            </w:pPr>
            <w:r>
              <w:rPr>
                <w:sz w:val="20"/>
              </w:rPr>
              <w:t xml:space="preserve">69485,9</w:t>
            </w:r>
          </w:p>
        </w:tc>
        <w:tc>
          <w:tcPr>
            <w:tcW w:w="1416" w:type="dxa"/>
          </w:tcPr>
          <w:p>
            <w:pPr>
              <w:pStyle w:val="0"/>
              <w:jc w:val="center"/>
            </w:pPr>
            <w:r>
              <w:rPr>
                <w:sz w:val="20"/>
              </w:rPr>
              <w:t xml:space="preserve">80084,8</w:t>
            </w:r>
          </w:p>
        </w:tc>
        <w:tc>
          <w:tcPr>
            <w:tcW w:w="1416" w:type="dxa"/>
          </w:tcPr>
          <w:p>
            <w:pPr>
              <w:pStyle w:val="0"/>
              <w:jc w:val="center"/>
            </w:pPr>
            <w:r>
              <w:rPr>
                <w:sz w:val="20"/>
              </w:rPr>
              <w:t xml:space="preserve">115,3</w:t>
            </w:r>
          </w:p>
        </w:tc>
        <w:tc>
          <w:tcPr>
            <w:tcW w:w="1419" w:type="dxa"/>
          </w:tcPr>
          <w:p>
            <w:pPr>
              <w:pStyle w:val="0"/>
              <w:jc w:val="center"/>
            </w:pPr>
            <w:r>
              <w:rPr>
                <w:sz w:val="20"/>
              </w:rPr>
              <w:t xml:space="preserve">127,5</w:t>
            </w:r>
          </w:p>
        </w:tc>
      </w:tr>
      <w:tr>
        <w:tc>
          <w:tcPr>
            <w:tcW w:w="1984" w:type="dxa"/>
          </w:tcPr>
          <w:p>
            <w:pPr>
              <w:pStyle w:val="0"/>
            </w:pPr>
            <w:r>
              <w:rPr>
                <w:sz w:val="20"/>
              </w:rPr>
              <w:t xml:space="preserve">в том числе:</w:t>
            </w:r>
          </w:p>
        </w:tc>
        <w:tc>
          <w:tcPr>
            <w:tcW w:w="1416" w:type="dxa"/>
          </w:tcPr>
          <w:p>
            <w:pPr>
              <w:pStyle w:val="0"/>
            </w:pPr>
            <w:r>
              <w:rPr>
                <w:sz w:val="20"/>
              </w:rPr>
            </w:r>
          </w:p>
        </w:tc>
        <w:tc>
          <w:tcPr>
            <w:tcW w:w="1416" w:type="dxa"/>
          </w:tcPr>
          <w:p>
            <w:pPr>
              <w:pStyle w:val="0"/>
            </w:pPr>
            <w:r>
              <w:rPr>
                <w:sz w:val="20"/>
              </w:rPr>
            </w:r>
          </w:p>
        </w:tc>
        <w:tc>
          <w:tcPr>
            <w:tcW w:w="1416" w:type="dxa"/>
          </w:tcPr>
          <w:p>
            <w:pPr>
              <w:pStyle w:val="0"/>
            </w:pPr>
            <w:r>
              <w:rPr>
                <w:sz w:val="20"/>
              </w:rPr>
            </w:r>
          </w:p>
        </w:tc>
        <w:tc>
          <w:tcPr>
            <w:tcW w:w="1416" w:type="dxa"/>
          </w:tcPr>
          <w:p>
            <w:pPr>
              <w:pStyle w:val="0"/>
            </w:pPr>
            <w:r>
              <w:rPr>
                <w:sz w:val="20"/>
              </w:rPr>
            </w:r>
          </w:p>
        </w:tc>
        <w:tc>
          <w:tcPr>
            <w:tcW w:w="1419" w:type="dxa"/>
          </w:tcPr>
          <w:p>
            <w:pPr>
              <w:pStyle w:val="0"/>
            </w:pPr>
            <w:r>
              <w:rPr>
                <w:sz w:val="20"/>
              </w:rPr>
            </w:r>
          </w:p>
        </w:tc>
      </w:tr>
      <w:tr>
        <w:tc>
          <w:tcPr>
            <w:tcW w:w="1984" w:type="dxa"/>
          </w:tcPr>
          <w:p>
            <w:pPr>
              <w:pStyle w:val="0"/>
            </w:pPr>
            <w:r>
              <w:rPr>
                <w:sz w:val="20"/>
              </w:rPr>
              <w:t xml:space="preserve">Налоговые доходы</w:t>
            </w:r>
          </w:p>
        </w:tc>
        <w:tc>
          <w:tcPr>
            <w:tcW w:w="1416" w:type="dxa"/>
          </w:tcPr>
          <w:p>
            <w:pPr>
              <w:pStyle w:val="0"/>
              <w:jc w:val="center"/>
            </w:pPr>
            <w:r>
              <w:rPr>
                <w:sz w:val="20"/>
              </w:rPr>
              <w:t xml:space="preserve">59961,0</w:t>
            </w:r>
          </w:p>
        </w:tc>
        <w:tc>
          <w:tcPr>
            <w:tcW w:w="1416" w:type="dxa"/>
          </w:tcPr>
          <w:p>
            <w:pPr>
              <w:pStyle w:val="0"/>
              <w:jc w:val="center"/>
            </w:pPr>
            <w:r>
              <w:rPr>
                <w:sz w:val="20"/>
              </w:rPr>
              <w:t xml:space="preserve">66607,5</w:t>
            </w:r>
          </w:p>
        </w:tc>
        <w:tc>
          <w:tcPr>
            <w:tcW w:w="1416" w:type="dxa"/>
          </w:tcPr>
          <w:p>
            <w:pPr>
              <w:pStyle w:val="0"/>
              <w:jc w:val="center"/>
            </w:pPr>
            <w:r>
              <w:rPr>
                <w:sz w:val="20"/>
              </w:rPr>
              <w:t xml:space="preserve">76060,6</w:t>
            </w:r>
          </w:p>
        </w:tc>
        <w:tc>
          <w:tcPr>
            <w:tcW w:w="1416" w:type="dxa"/>
          </w:tcPr>
          <w:p>
            <w:pPr>
              <w:pStyle w:val="0"/>
              <w:jc w:val="center"/>
            </w:pPr>
            <w:r>
              <w:rPr>
                <w:sz w:val="20"/>
              </w:rPr>
              <w:t xml:space="preserve">114,2</w:t>
            </w:r>
          </w:p>
        </w:tc>
        <w:tc>
          <w:tcPr>
            <w:tcW w:w="1419" w:type="dxa"/>
          </w:tcPr>
          <w:p>
            <w:pPr>
              <w:pStyle w:val="0"/>
              <w:jc w:val="center"/>
            </w:pPr>
            <w:r>
              <w:rPr>
                <w:sz w:val="20"/>
              </w:rPr>
              <w:t xml:space="preserve">126,9</w:t>
            </w:r>
          </w:p>
        </w:tc>
      </w:tr>
      <w:tr>
        <w:tc>
          <w:tcPr>
            <w:tcW w:w="1984" w:type="dxa"/>
          </w:tcPr>
          <w:p>
            <w:pPr>
              <w:pStyle w:val="0"/>
            </w:pPr>
            <w:r>
              <w:rPr>
                <w:sz w:val="20"/>
              </w:rPr>
              <w:t xml:space="preserve">из них:</w:t>
            </w:r>
          </w:p>
        </w:tc>
        <w:tc>
          <w:tcPr>
            <w:tcW w:w="1416" w:type="dxa"/>
          </w:tcPr>
          <w:p>
            <w:pPr>
              <w:pStyle w:val="0"/>
            </w:pPr>
            <w:r>
              <w:rPr>
                <w:sz w:val="20"/>
              </w:rPr>
            </w:r>
          </w:p>
        </w:tc>
        <w:tc>
          <w:tcPr>
            <w:tcW w:w="1416" w:type="dxa"/>
          </w:tcPr>
          <w:p>
            <w:pPr>
              <w:pStyle w:val="0"/>
            </w:pPr>
            <w:r>
              <w:rPr>
                <w:sz w:val="20"/>
              </w:rPr>
            </w:r>
          </w:p>
        </w:tc>
        <w:tc>
          <w:tcPr>
            <w:tcW w:w="1416" w:type="dxa"/>
          </w:tcPr>
          <w:p>
            <w:pPr>
              <w:pStyle w:val="0"/>
            </w:pPr>
            <w:r>
              <w:rPr>
                <w:sz w:val="20"/>
              </w:rPr>
            </w:r>
          </w:p>
        </w:tc>
        <w:tc>
          <w:tcPr>
            <w:tcW w:w="1416" w:type="dxa"/>
          </w:tcPr>
          <w:p>
            <w:pPr>
              <w:pStyle w:val="0"/>
            </w:pPr>
            <w:r>
              <w:rPr>
                <w:sz w:val="20"/>
              </w:rPr>
            </w:r>
          </w:p>
        </w:tc>
        <w:tc>
          <w:tcPr>
            <w:tcW w:w="1419" w:type="dxa"/>
          </w:tcPr>
          <w:p>
            <w:pPr>
              <w:pStyle w:val="0"/>
            </w:pPr>
            <w:r>
              <w:rPr>
                <w:sz w:val="20"/>
              </w:rPr>
            </w:r>
          </w:p>
        </w:tc>
      </w:tr>
      <w:tr>
        <w:tc>
          <w:tcPr>
            <w:tcW w:w="1984" w:type="dxa"/>
          </w:tcPr>
          <w:p>
            <w:pPr>
              <w:pStyle w:val="0"/>
            </w:pPr>
            <w:r>
              <w:rPr>
                <w:sz w:val="20"/>
              </w:rPr>
              <w:t xml:space="preserve">Налоги на прибыль, доход</w:t>
            </w:r>
          </w:p>
        </w:tc>
        <w:tc>
          <w:tcPr>
            <w:tcW w:w="1416" w:type="dxa"/>
          </w:tcPr>
          <w:p>
            <w:pPr>
              <w:pStyle w:val="0"/>
              <w:jc w:val="center"/>
            </w:pPr>
            <w:r>
              <w:rPr>
                <w:sz w:val="20"/>
              </w:rPr>
              <w:t xml:space="preserve">41013,8</w:t>
            </w:r>
          </w:p>
        </w:tc>
        <w:tc>
          <w:tcPr>
            <w:tcW w:w="1416" w:type="dxa"/>
          </w:tcPr>
          <w:p>
            <w:pPr>
              <w:pStyle w:val="0"/>
              <w:jc w:val="center"/>
            </w:pPr>
            <w:r>
              <w:rPr>
                <w:sz w:val="20"/>
              </w:rPr>
              <w:t xml:space="preserve">46490,7</w:t>
            </w:r>
          </w:p>
        </w:tc>
        <w:tc>
          <w:tcPr>
            <w:tcW w:w="1416" w:type="dxa"/>
          </w:tcPr>
          <w:p>
            <w:pPr>
              <w:pStyle w:val="0"/>
              <w:jc w:val="center"/>
            </w:pPr>
            <w:r>
              <w:rPr>
                <w:sz w:val="20"/>
              </w:rPr>
              <w:t xml:space="preserve">54812,1</w:t>
            </w:r>
          </w:p>
        </w:tc>
        <w:tc>
          <w:tcPr>
            <w:tcW w:w="1416" w:type="dxa"/>
          </w:tcPr>
          <w:p>
            <w:pPr>
              <w:pStyle w:val="0"/>
              <w:jc w:val="center"/>
            </w:pPr>
            <w:r>
              <w:rPr>
                <w:sz w:val="20"/>
              </w:rPr>
              <w:t xml:space="preserve">117,9</w:t>
            </w:r>
          </w:p>
        </w:tc>
        <w:tc>
          <w:tcPr>
            <w:tcW w:w="1419" w:type="dxa"/>
          </w:tcPr>
          <w:p>
            <w:pPr>
              <w:pStyle w:val="0"/>
              <w:jc w:val="center"/>
            </w:pPr>
            <w:r>
              <w:rPr>
                <w:sz w:val="20"/>
              </w:rPr>
              <w:t xml:space="preserve">133,6</w:t>
            </w:r>
          </w:p>
        </w:tc>
      </w:tr>
      <w:tr>
        <w:tc>
          <w:tcPr>
            <w:tcW w:w="1984" w:type="dxa"/>
          </w:tcPr>
          <w:p>
            <w:pPr>
              <w:pStyle w:val="0"/>
            </w:pPr>
            <w:r>
              <w:rPr>
                <w:sz w:val="20"/>
              </w:rPr>
              <w:t xml:space="preserve">Акцизы по подакцизным товарам</w:t>
            </w:r>
          </w:p>
        </w:tc>
        <w:tc>
          <w:tcPr>
            <w:tcW w:w="1416" w:type="dxa"/>
          </w:tcPr>
          <w:p>
            <w:pPr>
              <w:pStyle w:val="0"/>
              <w:jc w:val="center"/>
            </w:pPr>
            <w:r>
              <w:rPr>
                <w:sz w:val="20"/>
              </w:rPr>
              <w:t xml:space="preserve">5555,6</w:t>
            </w:r>
          </w:p>
        </w:tc>
        <w:tc>
          <w:tcPr>
            <w:tcW w:w="1416" w:type="dxa"/>
          </w:tcPr>
          <w:p>
            <w:pPr>
              <w:pStyle w:val="0"/>
              <w:jc w:val="center"/>
            </w:pPr>
            <w:r>
              <w:rPr>
                <w:sz w:val="20"/>
              </w:rPr>
              <w:t xml:space="preserve">6224,8</w:t>
            </w:r>
          </w:p>
        </w:tc>
        <w:tc>
          <w:tcPr>
            <w:tcW w:w="1416" w:type="dxa"/>
          </w:tcPr>
          <w:p>
            <w:pPr>
              <w:pStyle w:val="0"/>
              <w:jc w:val="center"/>
            </w:pPr>
            <w:r>
              <w:rPr>
                <w:sz w:val="20"/>
              </w:rPr>
              <w:t xml:space="preserve">6471,5</w:t>
            </w:r>
          </w:p>
        </w:tc>
        <w:tc>
          <w:tcPr>
            <w:tcW w:w="1416" w:type="dxa"/>
          </w:tcPr>
          <w:p>
            <w:pPr>
              <w:pStyle w:val="0"/>
              <w:jc w:val="center"/>
            </w:pPr>
            <w:r>
              <w:rPr>
                <w:sz w:val="20"/>
              </w:rPr>
              <w:t xml:space="preserve">104</w:t>
            </w:r>
          </w:p>
        </w:tc>
        <w:tc>
          <w:tcPr>
            <w:tcW w:w="1419" w:type="dxa"/>
          </w:tcPr>
          <w:p>
            <w:pPr>
              <w:pStyle w:val="0"/>
              <w:jc w:val="center"/>
            </w:pPr>
            <w:r>
              <w:rPr>
                <w:sz w:val="20"/>
              </w:rPr>
              <w:t xml:space="preserve">116,5</w:t>
            </w:r>
          </w:p>
        </w:tc>
      </w:tr>
      <w:tr>
        <w:tc>
          <w:tcPr>
            <w:tcW w:w="1984" w:type="dxa"/>
          </w:tcPr>
          <w:p>
            <w:pPr>
              <w:pStyle w:val="0"/>
            </w:pPr>
            <w:r>
              <w:rPr>
                <w:sz w:val="20"/>
              </w:rPr>
              <w:t xml:space="preserve">Налоги на совокупный доход</w:t>
            </w:r>
          </w:p>
        </w:tc>
        <w:tc>
          <w:tcPr>
            <w:tcW w:w="1416" w:type="dxa"/>
          </w:tcPr>
          <w:p>
            <w:pPr>
              <w:pStyle w:val="0"/>
              <w:jc w:val="center"/>
            </w:pPr>
            <w:r>
              <w:rPr>
                <w:sz w:val="20"/>
              </w:rPr>
              <w:t xml:space="preserve">4672,3</w:t>
            </w:r>
          </w:p>
        </w:tc>
        <w:tc>
          <w:tcPr>
            <w:tcW w:w="1416" w:type="dxa"/>
          </w:tcPr>
          <w:p>
            <w:pPr>
              <w:pStyle w:val="0"/>
              <w:jc w:val="center"/>
            </w:pPr>
            <w:r>
              <w:rPr>
                <w:sz w:val="20"/>
              </w:rPr>
              <w:t xml:space="preserve">5153,2</w:t>
            </w:r>
          </w:p>
        </w:tc>
        <w:tc>
          <w:tcPr>
            <w:tcW w:w="1416" w:type="dxa"/>
          </w:tcPr>
          <w:p>
            <w:pPr>
              <w:pStyle w:val="0"/>
              <w:jc w:val="center"/>
            </w:pPr>
            <w:r>
              <w:rPr>
                <w:sz w:val="20"/>
              </w:rPr>
              <w:t xml:space="preserve">5689,1</w:t>
            </w:r>
          </w:p>
        </w:tc>
        <w:tc>
          <w:tcPr>
            <w:tcW w:w="1416" w:type="dxa"/>
          </w:tcPr>
          <w:p>
            <w:pPr>
              <w:pStyle w:val="0"/>
              <w:jc w:val="center"/>
            </w:pPr>
            <w:r>
              <w:rPr>
                <w:sz w:val="20"/>
              </w:rPr>
              <w:t xml:space="preserve">110,4</w:t>
            </w:r>
          </w:p>
        </w:tc>
        <w:tc>
          <w:tcPr>
            <w:tcW w:w="1419" w:type="dxa"/>
          </w:tcPr>
          <w:p>
            <w:pPr>
              <w:pStyle w:val="0"/>
              <w:jc w:val="center"/>
            </w:pPr>
            <w:r>
              <w:rPr>
                <w:sz w:val="20"/>
              </w:rPr>
              <w:t xml:space="preserve">121,8</w:t>
            </w:r>
          </w:p>
        </w:tc>
      </w:tr>
      <w:tr>
        <w:tc>
          <w:tcPr>
            <w:tcW w:w="1984" w:type="dxa"/>
          </w:tcPr>
          <w:p>
            <w:pPr>
              <w:pStyle w:val="0"/>
            </w:pPr>
            <w:r>
              <w:rPr>
                <w:sz w:val="20"/>
              </w:rPr>
              <w:t xml:space="preserve">Налоги на имущество</w:t>
            </w:r>
          </w:p>
        </w:tc>
        <w:tc>
          <w:tcPr>
            <w:tcW w:w="1416" w:type="dxa"/>
          </w:tcPr>
          <w:p>
            <w:pPr>
              <w:pStyle w:val="0"/>
              <w:jc w:val="center"/>
            </w:pPr>
            <w:r>
              <w:rPr>
                <w:sz w:val="20"/>
              </w:rPr>
              <w:t xml:space="preserve">8246,9</w:t>
            </w:r>
          </w:p>
        </w:tc>
        <w:tc>
          <w:tcPr>
            <w:tcW w:w="1416" w:type="dxa"/>
          </w:tcPr>
          <w:p>
            <w:pPr>
              <w:pStyle w:val="0"/>
              <w:jc w:val="center"/>
            </w:pPr>
            <w:r>
              <w:rPr>
                <w:sz w:val="20"/>
              </w:rPr>
              <w:t xml:space="preserve">8125,3</w:t>
            </w:r>
          </w:p>
        </w:tc>
        <w:tc>
          <w:tcPr>
            <w:tcW w:w="1416" w:type="dxa"/>
          </w:tcPr>
          <w:p>
            <w:pPr>
              <w:pStyle w:val="0"/>
              <w:jc w:val="center"/>
            </w:pPr>
            <w:r>
              <w:rPr>
                <w:sz w:val="20"/>
              </w:rPr>
              <w:t xml:space="preserve">8482,2</w:t>
            </w:r>
          </w:p>
        </w:tc>
        <w:tc>
          <w:tcPr>
            <w:tcW w:w="1416" w:type="dxa"/>
          </w:tcPr>
          <w:p>
            <w:pPr>
              <w:pStyle w:val="0"/>
              <w:jc w:val="center"/>
            </w:pPr>
            <w:r>
              <w:rPr>
                <w:sz w:val="20"/>
              </w:rPr>
              <w:t xml:space="preserve">104,4</w:t>
            </w:r>
          </w:p>
        </w:tc>
        <w:tc>
          <w:tcPr>
            <w:tcW w:w="1419" w:type="dxa"/>
          </w:tcPr>
          <w:p>
            <w:pPr>
              <w:pStyle w:val="0"/>
              <w:jc w:val="center"/>
            </w:pPr>
            <w:r>
              <w:rPr>
                <w:sz w:val="20"/>
              </w:rPr>
              <w:t xml:space="preserve">102,9</w:t>
            </w:r>
          </w:p>
        </w:tc>
      </w:tr>
      <w:tr>
        <w:tc>
          <w:tcPr>
            <w:tcW w:w="1984" w:type="dxa"/>
          </w:tcPr>
          <w:p>
            <w:pPr>
              <w:pStyle w:val="0"/>
            </w:pPr>
            <w:r>
              <w:rPr>
                <w:sz w:val="20"/>
              </w:rPr>
              <w:t xml:space="preserve">Неналоговые доходы</w:t>
            </w:r>
          </w:p>
        </w:tc>
        <w:tc>
          <w:tcPr>
            <w:tcW w:w="1416" w:type="dxa"/>
          </w:tcPr>
          <w:p>
            <w:pPr>
              <w:pStyle w:val="0"/>
              <w:jc w:val="center"/>
            </w:pPr>
            <w:r>
              <w:rPr>
                <w:sz w:val="20"/>
              </w:rPr>
              <w:t xml:space="preserve">2866,8</w:t>
            </w:r>
          </w:p>
        </w:tc>
        <w:tc>
          <w:tcPr>
            <w:tcW w:w="1416" w:type="dxa"/>
          </w:tcPr>
          <w:p>
            <w:pPr>
              <w:pStyle w:val="0"/>
              <w:jc w:val="center"/>
            </w:pPr>
            <w:r>
              <w:rPr>
                <w:sz w:val="20"/>
              </w:rPr>
              <w:t xml:space="preserve">2878,4</w:t>
            </w:r>
          </w:p>
        </w:tc>
        <w:tc>
          <w:tcPr>
            <w:tcW w:w="1416" w:type="dxa"/>
          </w:tcPr>
          <w:p>
            <w:pPr>
              <w:pStyle w:val="0"/>
              <w:jc w:val="center"/>
            </w:pPr>
            <w:r>
              <w:rPr>
                <w:sz w:val="20"/>
              </w:rPr>
              <w:t xml:space="preserve">4024,2</w:t>
            </w:r>
          </w:p>
        </w:tc>
        <w:tc>
          <w:tcPr>
            <w:tcW w:w="1416" w:type="dxa"/>
          </w:tcPr>
          <w:p>
            <w:pPr>
              <w:pStyle w:val="0"/>
              <w:jc w:val="center"/>
            </w:pPr>
            <w:r>
              <w:rPr>
                <w:sz w:val="20"/>
              </w:rPr>
              <w:t xml:space="preserve">139,8</w:t>
            </w:r>
          </w:p>
        </w:tc>
        <w:tc>
          <w:tcPr>
            <w:tcW w:w="1419" w:type="dxa"/>
          </w:tcPr>
          <w:p>
            <w:pPr>
              <w:pStyle w:val="0"/>
              <w:jc w:val="center"/>
            </w:pPr>
            <w:r>
              <w:rPr>
                <w:sz w:val="20"/>
              </w:rPr>
              <w:t xml:space="preserve">140,4</w:t>
            </w:r>
          </w:p>
        </w:tc>
      </w:tr>
    </w:tbl>
    <w:p>
      <w:pPr>
        <w:pStyle w:val="0"/>
        <w:jc w:val="both"/>
      </w:pPr>
      <w:r>
        <w:rPr>
          <w:sz w:val="20"/>
        </w:rPr>
      </w:r>
    </w:p>
    <w:p>
      <w:pPr>
        <w:pStyle w:val="0"/>
        <w:ind w:firstLine="540"/>
        <w:jc w:val="both"/>
      </w:pPr>
      <w:r>
        <w:rPr>
          <w:sz w:val="20"/>
        </w:rPr>
        <w:t xml:space="preserve">Рост налоговых и неналоговых доходов консолидированного бюджета области к уровню 2020 года составил 127,5%, превысив среднероссийский уровень (126,4%) и показатель по Центральному Федеральному округу (далее - ЦФО) (124,7%), поступило 80084,8 млн. рублей (+17257 млн. рублей).</w:t>
      </w:r>
    </w:p>
    <w:p>
      <w:pPr>
        <w:pStyle w:val="0"/>
        <w:spacing w:before="200" w:line-rule="auto"/>
        <w:ind w:firstLine="540"/>
        <w:jc w:val="both"/>
      </w:pPr>
      <w:r>
        <w:rPr>
          <w:sz w:val="20"/>
        </w:rPr>
        <w:t xml:space="preserve">На 26,9% выросли поступления налоговых доходов и составили 76060,6 млн. рублей. Налоговые доходы увеличились по отношению к 2020 году за счет налога на прибыль организаций, поступления которого составили 27956 млн. рублей (178,9% к 2020 году при среднероссийском уровне - 154,7% и по ЦФО - 144,9%).</w:t>
      </w:r>
    </w:p>
    <w:p>
      <w:pPr>
        <w:pStyle w:val="0"/>
        <w:spacing w:before="200" w:line-rule="auto"/>
        <w:ind w:firstLine="540"/>
        <w:jc w:val="both"/>
      </w:pPr>
      <w:r>
        <w:rPr>
          <w:sz w:val="20"/>
        </w:rPr>
        <w:t xml:space="preserve">По состоянию на 1 января 2022 года согласно федеральной базе данных налоговых органов области состоит на учете 1754 тысячи плательщиков, из них 24 тысячи юридических лиц, 35 тысяч индивидуальных предпринимателей, 14 иностранных организаций, 1433 тысячи физических лиц по месту жительства, 262 тысячи физических лиц по месту нахождения объектов налогообложения.</w:t>
      </w:r>
    </w:p>
    <w:p>
      <w:pPr>
        <w:pStyle w:val="0"/>
        <w:spacing w:before="200" w:line-rule="auto"/>
        <w:ind w:firstLine="540"/>
        <w:jc w:val="both"/>
      </w:pPr>
      <w:r>
        <w:rPr>
          <w:sz w:val="20"/>
        </w:rPr>
        <w:t xml:space="preserve">По итогам 2021 года самыми крупными налогоплательщиками являются АО "Генериум", ООО "Генериум Некст", ПАО "Сбербанк", ОАО "Завод им. В.А. Дегтярева", ОАО "РЖД", ЗАО "Ферреро Руссия", ООО "Мон'дэлис Русь", ПАО "Россети Центр и Приволжье", ООО "ДАУ Изолан", ПАО "Газпром". На долю всех вышеуказанных организаций приходится 29,5% поступивших на территории области налоговых доходов.</w:t>
      </w:r>
    </w:p>
    <w:p>
      <w:pPr>
        <w:pStyle w:val="0"/>
        <w:spacing w:before="200" w:line-rule="auto"/>
        <w:ind w:firstLine="540"/>
        <w:jc w:val="both"/>
      </w:pPr>
      <w:r>
        <w:rPr>
          <w:sz w:val="20"/>
        </w:rPr>
        <w:t xml:space="preserve">В 2021 году обеспечено выполнение условий соглашения по социально-экономическому развитию и оздоровлению государственных финансов области, заключенного между администрацией области и Министерством финансов Российской Федерации. План мероприятий по оздоровлению государственных финансов области, направленный на повышение налогового потенциала, выполнен.</w:t>
      </w:r>
    </w:p>
    <w:p>
      <w:pPr>
        <w:pStyle w:val="0"/>
        <w:spacing w:before="200" w:line-rule="auto"/>
        <w:ind w:firstLine="540"/>
        <w:jc w:val="both"/>
      </w:pPr>
      <w:r>
        <w:rPr>
          <w:sz w:val="20"/>
        </w:rPr>
        <w:t xml:space="preserve">Бюджетный эффект от реализации указанного плана в виде прироста налоговых и неналоговых доходов консолидированного бюджета области составил 6243,2 млн. рублей.</w:t>
      </w:r>
    </w:p>
    <w:p>
      <w:pPr>
        <w:pStyle w:val="0"/>
        <w:spacing w:before="200" w:line-rule="auto"/>
        <w:ind w:firstLine="540"/>
        <w:jc w:val="both"/>
      </w:pPr>
      <w:r>
        <w:rPr>
          <w:sz w:val="20"/>
        </w:rPr>
        <w:t xml:space="preserve">В 2021 году в целях расширения доходной базы, сбалансированности и устойчивости местных бюджетов перераспределена часть доходов в пользу бюджетов муниципальных образований. Это касается налога, взимаемого в связи с применением упрощенной системы налогообложения, транспортного налога с физических лиц и платы за негативное воздействие на окружающую среду. Объем дополнительно переданных местным бюджетам из областного бюджета налоговых и неналоговых доходов составил в 2021 году более двух миллиардов рублей.</w:t>
      </w:r>
    </w:p>
    <w:p>
      <w:pPr>
        <w:pStyle w:val="0"/>
        <w:jc w:val="both"/>
      </w:pPr>
      <w:r>
        <w:rPr>
          <w:sz w:val="20"/>
        </w:rPr>
      </w:r>
    </w:p>
    <w:p>
      <w:pPr>
        <w:pStyle w:val="2"/>
        <w:outlineLvl w:val="1"/>
        <w:jc w:val="center"/>
      </w:pPr>
      <w:r>
        <w:rPr>
          <w:sz w:val="20"/>
        </w:rPr>
        <w:t xml:space="preserve">II. Макроэкономические показатели социально-экономического</w:t>
      </w:r>
    </w:p>
    <w:p>
      <w:pPr>
        <w:pStyle w:val="2"/>
        <w:jc w:val="center"/>
      </w:pPr>
      <w:r>
        <w:rPr>
          <w:sz w:val="20"/>
        </w:rPr>
        <w:t xml:space="preserve">развития Владимирской области</w:t>
      </w:r>
    </w:p>
    <w:p>
      <w:pPr>
        <w:pStyle w:val="0"/>
        <w:jc w:val="both"/>
      </w:pPr>
      <w:r>
        <w:rPr>
          <w:sz w:val="20"/>
        </w:rPr>
      </w:r>
    </w:p>
    <w:p>
      <w:pPr>
        <w:pStyle w:val="0"/>
        <w:ind w:firstLine="540"/>
        <w:jc w:val="both"/>
      </w:pPr>
      <w:r>
        <w:rPr>
          <w:sz w:val="20"/>
        </w:rPr>
        <w:t xml:space="preserve">Формирование налоговой политики области на 2023 год и среднесрочную перспективу до 2025 года осуществлялось на основе уточненных показателей базового варианта прогноза социально-экономического развития Владимирской области на 2023 - 2025 годы, представленных Департаментом регионального развития области письмом от 18 мая 2022 года N ДРР-1331-03-01 (таблица 2).</w:t>
      </w:r>
    </w:p>
    <w:p>
      <w:pPr>
        <w:pStyle w:val="0"/>
        <w:jc w:val="both"/>
      </w:pPr>
      <w:r>
        <w:rPr>
          <w:sz w:val="20"/>
        </w:rPr>
      </w:r>
    </w:p>
    <w:p>
      <w:pPr>
        <w:pStyle w:val="0"/>
        <w:outlineLvl w:val="2"/>
        <w:jc w:val="right"/>
      </w:pPr>
      <w:r>
        <w:rPr>
          <w:sz w:val="20"/>
        </w:rPr>
        <w:t xml:space="preserve">Таблица 2</w:t>
      </w:r>
    </w:p>
    <w:p>
      <w:pPr>
        <w:pStyle w:val="0"/>
        <w:jc w:val="both"/>
      </w:pPr>
      <w:r>
        <w:rPr>
          <w:sz w:val="20"/>
        </w:rPr>
      </w:r>
    </w:p>
    <w:p>
      <w:pPr>
        <w:pStyle w:val="2"/>
        <w:jc w:val="center"/>
      </w:pPr>
      <w:r>
        <w:rPr>
          <w:sz w:val="20"/>
        </w:rPr>
        <w:t xml:space="preserve">Показатели</w:t>
      </w:r>
    </w:p>
    <w:p>
      <w:pPr>
        <w:pStyle w:val="2"/>
        <w:jc w:val="center"/>
      </w:pPr>
      <w:r>
        <w:rPr>
          <w:sz w:val="20"/>
        </w:rPr>
        <w:t xml:space="preserve">социально-экономического развития Владимирской области</w:t>
      </w:r>
    </w:p>
    <w:p>
      <w:pPr>
        <w:pStyle w:val="2"/>
        <w:jc w:val="center"/>
      </w:pPr>
      <w:r>
        <w:rPr>
          <w:sz w:val="20"/>
        </w:rPr>
        <w:t xml:space="preserve">на 2023 - 2025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6"/>
        <w:gridCol w:w="1416"/>
        <w:gridCol w:w="1417"/>
      </w:tblGrid>
      <w:tr>
        <w:tc>
          <w:tcPr>
            <w:tcW w:w="4819" w:type="dxa"/>
          </w:tcPr>
          <w:p>
            <w:pPr>
              <w:pStyle w:val="0"/>
              <w:jc w:val="center"/>
            </w:pPr>
            <w:r>
              <w:rPr>
                <w:sz w:val="20"/>
              </w:rPr>
              <w:t xml:space="preserve">Показатели</w:t>
            </w:r>
          </w:p>
        </w:tc>
        <w:tc>
          <w:tcPr>
            <w:tcW w:w="1416" w:type="dxa"/>
          </w:tcPr>
          <w:p>
            <w:pPr>
              <w:pStyle w:val="0"/>
              <w:jc w:val="center"/>
            </w:pPr>
            <w:r>
              <w:rPr>
                <w:sz w:val="20"/>
              </w:rPr>
              <w:t xml:space="preserve">2023 год</w:t>
            </w:r>
          </w:p>
        </w:tc>
        <w:tc>
          <w:tcPr>
            <w:tcW w:w="1416" w:type="dxa"/>
          </w:tcPr>
          <w:p>
            <w:pPr>
              <w:pStyle w:val="0"/>
              <w:jc w:val="center"/>
            </w:pPr>
            <w:r>
              <w:rPr>
                <w:sz w:val="20"/>
              </w:rPr>
              <w:t xml:space="preserve">2024 год</w:t>
            </w:r>
          </w:p>
        </w:tc>
        <w:tc>
          <w:tcPr>
            <w:tcW w:w="1417" w:type="dxa"/>
          </w:tcPr>
          <w:p>
            <w:pPr>
              <w:pStyle w:val="0"/>
              <w:jc w:val="center"/>
            </w:pPr>
            <w:r>
              <w:rPr>
                <w:sz w:val="20"/>
              </w:rPr>
              <w:t xml:space="preserve">2025 год</w:t>
            </w:r>
          </w:p>
        </w:tc>
      </w:tr>
      <w:tr>
        <w:tc>
          <w:tcPr>
            <w:tcW w:w="4819" w:type="dxa"/>
          </w:tcPr>
          <w:p>
            <w:pPr>
              <w:pStyle w:val="0"/>
            </w:pPr>
            <w:r>
              <w:rPr>
                <w:sz w:val="20"/>
              </w:rPr>
              <w:t xml:space="preserve">Валовой региональный продукт, млн. рублей</w:t>
            </w:r>
          </w:p>
        </w:tc>
        <w:tc>
          <w:tcPr>
            <w:tcW w:w="1416" w:type="dxa"/>
          </w:tcPr>
          <w:p>
            <w:pPr>
              <w:pStyle w:val="0"/>
              <w:jc w:val="center"/>
            </w:pPr>
            <w:r>
              <w:rPr>
                <w:sz w:val="20"/>
              </w:rPr>
              <w:t xml:space="preserve">750568,5</w:t>
            </w:r>
          </w:p>
        </w:tc>
        <w:tc>
          <w:tcPr>
            <w:tcW w:w="1416" w:type="dxa"/>
          </w:tcPr>
          <w:p>
            <w:pPr>
              <w:pStyle w:val="0"/>
              <w:jc w:val="center"/>
            </w:pPr>
            <w:r>
              <w:rPr>
                <w:sz w:val="20"/>
              </w:rPr>
              <w:t xml:space="preserve">829463,8</w:t>
            </w:r>
          </w:p>
        </w:tc>
        <w:tc>
          <w:tcPr>
            <w:tcW w:w="1417" w:type="dxa"/>
          </w:tcPr>
          <w:p>
            <w:pPr>
              <w:pStyle w:val="0"/>
              <w:jc w:val="center"/>
            </w:pPr>
            <w:r>
              <w:rPr>
                <w:sz w:val="20"/>
              </w:rPr>
              <w:t xml:space="preserve">917294,1</w:t>
            </w:r>
          </w:p>
        </w:tc>
      </w:tr>
      <w:tr>
        <w:tc>
          <w:tcPr>
            <w:tcW w:w="4819" w:type="dxa"/>
          </w:tcPr>
          <w:p>
            <w:pPr>
              <w:pStyle w:val="0"/>
            </w:pPr>
            <w:r>
              <w:rPr>
                <w:sz w:val="20"/>
              </w:rPr>
              <w:t xml:space="preserve">Индекс физического объема ВРП, %</w:t>
            </w:r>
          </w:p>
        </w:tc>
        <w:tc>
          <w:tcPr>
            <w:tcW w:w="1416" w:type="dxa"/>
          </w:tcPr>
          <w:p>
            <w:pPr>
              <w:pStyle w:val="0"/>
              <w:jc w:val="center"/>
            </w:pPr>
            <w:r>
              <w:rPr>
                <w:sz w:val="20"/>
              </w:rPr>
              <w:t xml:space="preserve">101,1</w:t>
            </w:r>
          </w:p>
        </w:tc>
        <w:tc>
          <w:tcPr>
            <w:tcW w:w="1416" w:type="dxa"/>
          </w:tcPr>
          <w:p>
            <w:pPr>
              <w:pStyle w:val="0"/>
              <w:jc w:val="center"/>
            </w:pPr>
            <w:r>
              <w:rPr>
                <w:sz w:val="20"/>
              </w:rPr>
              <w:t xml:space="preserve">101,3</w:t>
            </w:r>
          </w:p>
        </w:tc>
        <w:tc>
          <w:tcPr>
            <w:tcW w:w="1417" w:type="dxa"/>
          </w:tcPr>
          <w:p>
            <w:pPr>
              <w:pStyle w:val="0"/>
              <w:jc w:val="center"/>
            </w:pPr>
            <w:r>
              <w:rPr>
                <w:sz w:val="20"/>
              </w:rPr>
              <w:t xml:space="preserve">101,4</w:t>
            </w:r>
          </w:p>
        </w:tc>
      </w:tr>
      <w:tr>
        <w:tc>
          <w:tcPr>
            <w:tcW w:w="4819" w:type="dxa"/>
          </w:tcPr>
          <w:p>
            <w:pPr>
              <w:pStyle w:val="0"/>
            </w:pPr>
            <w:r>
              <w:rPr>
                <w:sz w:val="20"/>
              </w:rPr>
              <w:t xml:space="preserve">Прибыль прибыльных организаций, млн. рублей</w:t>
            </w:r>
          </w:p>
        </w:tc>
        <w:tc>
          <w:tcPr>
            <w:tcW w:w="1416" w:type="dxa"/>
          </w:tcPr>
          <w:p>
            <w:pPr>
              <w:pStyle w:val="0"/>
              <w:jc w:val="center"/>
            </w:pPr>
            <w:r>
              <w:rPr>
                <w:sz w:val="20"/>
              </w:rPr>
              <w:t xml:space="preserve">101339,9</w:t>
            </w:r>
          </w:p>
        </w:tc>
        <w:tc>
          <w:tcPr>
            <w:tcW w:w="1416" w:type="dxa"/>
          </w:tcPr>
          <w:p>
            <w:pPr>
              <w:pStyle w:val="0"/>
              <w:jc w:val="center"/>
            </w:pPr>
            <w:r>
              <w:rPr>
                <w:sz w:val="20"/>
              </w:rPr>
              <w:t xml:space="preserve">105394,0</w:t>
            </w:r>
          </w:p>
        </w:tc>
        <w:tc>
          <w:tcPr>
            <w:tcW w:w="1417" w:type="dxa"/>
          </w:tcPr>
          <w:p>
            <w:pPr>
              <w:pStyle w:val="0"/>
              <w:jc w:val="center"/>
            </w:pPr>
            <w:r>
              <w:rPr>
                <w:sz w:val="20"/>
              </w:rPr>
              <w:t xml:space="preserve">109609,0</w:t>
            </w:r>
          </w:p>
        </w:tc>
      </w:tr>
      <w:tr>
        <w:tc>
          <w:tcPr>
            <w:tcW w:w="4819" w:type="dxa"/>
          </w:tcPr>
          <w:p>
            <w:pPr>
              <w:pStyle w:val="0"/>
            </w:pPr>
            <w:r>
              <w:rPr>
                <w:sz w:val="20"/>
              </w:rPr>
              <w:t xml:space="preserve">Фонд заработной платы работников, млн. рублей</w:t>
            </w:r>
          </w:p>
        </w:tc>
        <w:tc>
          <w:tcPr>
            <w:tcW w:w="1416" w:type="dxa"/>
          </w:tcPr>
          <w:p>
            <w:pPr>
              <w:pStyle w:val="0"/>
              <w:jc w:val="center"/>
            </w:pPr>
            <w:r>
              <w:rPr>
                <w:sz w:val="20"/>
              </w:rPr>
              <w:t xml:space="preserve">233576,0</w:t>
            </w:r>
          </w:p>
        </w:tc>
        <w:tc>
          <w:tcPr>
            <w:tcW w:w="1416" w:type="dxa"/>
          </w:tcPr>
          <w:p>
            <w:pPr>
              <w:pStyle w:val="0"/>
              <w:jc w:val="center"/>
            </w:pPr>
            <w:r>
              <w:rPr>
                <w:sz w:val="20"/>
              </w:rPr>
              <w:t xml:space="preserve">252132,0</w:t>
            </w:r>
          </w:p>
        </w:tc>
        <w:tc>
          <w:tcPr>
            <w:tcW w:w="1417" w:type="dxa"/>
          </w:tcPr>
          <w:p>
            <w:pPr>
              <w:pStyle w:val="0"/>
              <w:jc w:val="center"/>
            </w:pPr>
            <w:r>
              <w:rPr>
                <w:sz w:val="20"/>
              </w:rPr>
              <w:t xml:space="preserve">272156,0</w:t>
            </w:r>
          </w:p>
        </w:tc>
      </w:tr>
      <w:tr>
        <w:tc>
          <w:tcPr>
            <w:tcW w:w="4819" w:type="dxa"/>
          </w:tcPr>
          <w:p>
            <w:pPr>
              <w:pStyle w:val="0"/>
            </w:pPr>
            <w:r>
              <w:rPr>
                <w:sz w:val="20"/>
              </w:rPr>
              <w:t xml:space="preserve">Индекс потребительских цен, %</w:t>
            </w:r>
          </w:p>
        </w:tc>
        <w:tc>
          <w:tcPr>
            <w:tcW w:w="1416" w:type="dxa"/>
          </w:tcPr>
          <w:p>
            <w:pPr>
              <w:pStyle w:val="0"/>
              <w:jc w:val="center"/>
            </w:pPr>
            <w:r>
              <w:rPr>
                <w:sz w:val="20"/>
              </w:rPr>
              <w:t xml:space="preserve">104,0</w:t>
            </w:r>
          </w:p>
        </w:tc>
        <w:tc>
          <w:tcPr>
            <w:tcW w:w="1416" w:type="dxa"/>
          </w:tcPr>
          <w:p>
            <w:pPr>
              <w:pStyle w:val="0"/>
              <w:jc w:val="center"/>
            </w:pPr>
            <w:r>
              <w:rPr>
                <w:sz w:val="20"/>
              </w:rPr>
              <w:t xml:space="preserve">104,0</w:t>
            </w:r>
          </w:p>
        </w:tc>
        <w:tc>
          <w:tcPr>
            <w:tcW w:w="1417" w:type="dxa"/>
          </w:tcPr>
          <w:p>
            <w:pPr>
              <w:pStyle w:val="0"/>
              <w:jc w:val="center"/>
            </w:pPr>
            <w:r>
              <w:rPr>
                <w:sz w:val="20"/>
              </w:rPr>
              <w:t xml:space="preserve">104,0</w:t>
            </w:r>
          </w:p>
        </w:tc>
      </w:tr>
      <w:tr>
        <w:tc>
          <w:tcPr>
            <w:tcW w:w="4819" w:type="dxa"/>
          </w:tcPr>
          <w:p>
            <w:pPr>
              <w:pStyle w:val="0"/>
            </w:pPr>
            <w:r>
              <w:rPr>
                <w:sz w:val="20"/>
              </w:rPr>
              <w:t xml:space="preserve">Инвестиции в основной капитал, млн. рублей</w:t>
            </w:r>
          </w:p>
        </w:tc>
        <w:tc>
          <w:tcPr>
            <w:tcW w:w="1416" w:type="dxa"/>
          </w:tcPr>
          <w:p>
            <w:pPr>
              <w:pStyle w:val="0"/>
              <w:jc w:val="center"/>
            </w:pPr>
            <w:r>
              <w:rPr>
                <w:sz w:val="20"/>
              </w:rPr>
              <w:t xml:space="preserve">122476,9</w:t>
            </w:r>
          </w:p>
        </w:tc>
        <w:tc>
          <w:tcPr>
            <w:tcW w:w="1416" w:type="dxa"/>
          </w:tcPr>
          <w:p>
            <w:pPr>
              <w:pStyle w:val="0"/>
              <w:jc w:val="center"/>
            </w:pPr>
            <w:r>
              <w:rPr>
                <w:sz w:val="20"/>
              </w:rPr>
              <w:t xml:space="preserve">145404,5</w:t>
            </w:r>
          </w:p>
        </w:tc>
        <w:tc>
          <w:tcPr>
            <w:tcW w:w="1417" w:type="dxa"/>
          </w:tcPr>
          <w:p>
            <w:pPr>
              <w:pStyle w:val="0"/>
              <w:jc w:val="center"/>
            </w:pPr>
            <w:r>
              <w:rPr>
                <w:sz w:val="20"/>
              </w:rPr>
              <w:t xml:space="preserve">158781,7</w:t>
            </w:r>
          </w:p>
        </w:tc>
      </w:tr>
    </w:tbl>
    <w:p>
      <w:pPr>
        <w:pStyle w:val="0"/>
        <w:jc w:val="both"/>
      </w:pPr>
      <w:r>
        <w:rPr>
          <w:sz w:val="20"/>
        </w:rPr>
      </w:r>
    </w:p>
    <w:p>
      <w:pPr>
        <w:pStyle w:val="0"/>
        <w:ind w:firstLine="540"/>
        <w:jc w:val="both"/>
      </w:pPr>
      <w:r>
        <w:rPr>
          <w:sz w:val="20"/>
        </w:rPr>
        <w:t xml:space="preserve">Согласно уточненным прогнозным показателям социально-экономического развития Владимирской области объем валового регионального продукта (далее - ВРП) в 2023 году составит 750568,5 млн. рублей, индекс физического объема ВРП - 101,1%, прибыль прибыльных организаций - 101339,9 млн. рублей, объем инвестиций в основной капитал - 122476,9 млн. рублей, фонд заработной платы - 233576,0 млн. рублей. Представленные Департаментом регионального развития области уточненные прогнозные данные на 2023 год увеличены по отношению к показателям, утвержденным распоряжением администрации области от 30 сентября 2021 года N 770-р (в редакции от 26 января 2022 года): по объему ВРП - на 10,7%; фонду заработной платы работников - на 16,1%. Показатель по прибыли прибыльных организаций снижен на 38,4%.</w:t>
      </w:r>
    </w:p>
    <w:p>
      <w:pPr>
        <w:pStyle w:val="0"/>
        <w:spacing w:before="200" w:line-rule="auto"/>
        <w:ind w:firstLine="540"/>
        <w:jc w:val="both"/>
      </w:pPr>
      <w:r>
        <w:rPr>
          <w:sz w:val="20"/>
        </w:rPr>
        <w:t xml:space="preserve">В 2024 году объем ВРП составит 829463,8 млн. рублей и увеличится в 2025 году до 917294,1 млн. рублей, индекс физического объема ВРП в 2024 году прогнозируется в размере 101,3%, в 2025 году - 101,4%. Прибыль прибыльных организаций повысится с 105394,0 млн. рублей в 2024 году до 109609 млн. рублей в 2025 году, фонд заработной платы в 2024 году составит 252132 млн. рублей, в 2025 году - 272156 млн. рублей. Объем инвестиций в основной капитал прогнозируется в 2024 году в сумме 145404,5 млн. рублей, в 2025 году - 158781,7 млн. рублей.</w:t>
      </w:r>
    </w:p>
    <w:p>
      <w:pPr>
        <w:pStyle w:val="0"/>
        <w:jc w:val="both"/>
      </w:pPr>
      <w:r>
        <w:rPr>
          <w:sz w:val="20"/>
        </w:rPr>
      </w:r>
    </w:p>
    <w:p>
      <w:pPr>
        <w:pStyle w:val="2"/>
        <w:outlineLvl w:val="1"/>
        <w:jc w:val="center"/>
      </w:pPr>
      <w:r>
        <w:rPr>
          <w:sz w:val="20"/>
        </w:rPr>
        <w:t xml:space="preserve">III. Основные направления налоговой политики на 2023 год</w:t>
      </w:r>
    </w:p>
    <w:p>
      <w:pPr>
        <w:pStyle w:val="2"/>
        <w:jc w:val="center"/>
      </w:pPr>
      <w:r>
        <w:rPr>
          <w:sz w:val="20"/>
        </w:rPr>
        <w:t xml:space="preserve">и на плановый период 2024 и 2025 годов</w:t>
      </w:r>
    </w:p>
    <w:p>
      <w:pPr>
        <w:pStyle w:val="0"/>
        <w:jc w:val="both"/>
      </w:pPr>
      <w:r>
        <w:rPr>
          <w:sz w:val="20"/>
        </w:rPr>
      </w:r>
    </w:p>
    <w:p>
      <w:pPr>
        <w:pStyle w:val="0"/>
        <w:ind w:firstLine="540"/>
        <w:jc w:val="both"/>
      </w:pPr>
      <w:r>
        <w:rPr>
          <w:sz w:val="20"/>
        </w:rPr>
        <w:t xml:space="preserve">Основные направления налоговой политики на 2023 год и на плановый период 2024 и 2025 годов формируются в условиях реализации плана первоочередных действий по обеспечению развития российской экономики в условиях внешнего санкционного давления, разработанного Правительством Российской Федерации 15 марта 2022 года.</w:t>
      </w:r>
    </w:p>
    <w:p>
      <w:pPr>
        <w:pStyle w:val="0"/>
        <w:spacing w:before="200" w:line-rule="auto"/>
        <w:ind w:firstLine="540"/>
        <w:jc w:val="both"/>
      </w:pPr>
      <w:r>
        <w:rPr>
          <w:sz w:val="20"/>
        </w:rPr>
        <w:t xml:space="preserve">В 2023 - 2025 годах будет продолжена реализация основных целей и задач налоговой политики, предусмотренных в предыдущие годы.</w:t>
      </w:r>
    </w:p>
    <w:p>
      <w:pPr>
        <w:pStyle w:val="0"/>
        <w:spacing w:before="200" w:line-rule="auto"/>
        <w:ind w:firstLine="540"/>
        <w:jc w:val="both"/>
      </w:pPr>
      <w:r>
        <w:rPr>
          <w:sz w:val="20"/>
        </w:rPr>
        <w:t xml:space="preserve">В целом в налоговой политике приоритетом остается обеспечение стабильных налоговых условий для хозяйствующих субъектов, а акцент сохранится на повышении эффективности стимулирующей функции налоговой системы и улучшении качества администрирования.</w:t>
      </w:r>
    </w:p>
    <w:p>
      <w:pPr>
        <w:pStyle w:val="0"/>
        <w:spacing w:before="200" w:line-rule="auto"/>
        <w:ind w:firstLine="540"/>
        <w:jc w:val="both"/>
      </w:pPr>
      <w:r>
        <w:rPr>
          <w:sz w:val="20"/>
        </w:rPr>
        <w:t xml:space="preserve">Налоговая политика Владимирской области в 2023 году и на плановый период до 2025 года ориентирована на развитие доходного потенциала области на основе экономического роста.</w:t>
      </w:r>
    </w:p>
    <w:p>
      <w:pPr>
        <w:pStyle w:val="0"/>
        <w:spacing w:before="200" w:line-rule="auto"/>
        <w:ind w:firstLine="540"/>
        <w:jc w:val="both"/>
      </w:pPr>
      <w:r>
        <w:rPr>
          <w:sz w:val="20"/>
        </w:rPr>
        <w:t xml:space="preserve">Основными направлениями налоговой политики Владимирской области в среднесрочной перспективе являются:</w:t>
      </w:r>
    </w:p>
    <w:p>
      <w:pPr>
        <w:pStyle w:val="0"/>
        <w:spacing w:before="200" w:line-rule="auto"/>
        <w:ind w:firstLine="540"/>
        <w:jc w:val="both"/>
      </w:pPr>
      <w:r>
        <w:rPr>
          <w:sz w:val="20"/>
        </w:rPr>
        <w:t xml:space="preserve">- совершенствование налогового законодательства области с учетом изменений в налоговом законодательстве Российской Федерации;</w:t>
      </w:r>
    </w:p>
    <w:p>
      <w:pPr>
        <w:pStyle w:val="0"/>
        <w:spacing w:before="200" w:line-rule="auto"/>
        <w:ind w:firstLine="540"/>
        <w:jc w:val="both"/>
      </w:pPr>
      <w:r>
        <w:rPr>
          <w:sz w:val="20"/>
        </w:rPr>
        <w:t xml:space="preserve">- реализация механизмов налогового стимулирования в рамках приоритетных направлений промышленной и инвестиционной политики области;</w:t>
      </w:r>
    </w:p>
    <w:p>
      <w:pPr>
        <w:pStyle w:val="0"/>
        <w:spacing w:before="200" w:line-rule="auto"/>
        <w:ind w:firstLine="540"/>
        <w:jc w:val="both"/>
      </w:pPr>
      <w:r>
        <w:rPr>
          <w:sz w:val="20"/>
        </w:rPr>
        <w:t xml:space="preserve">- обеспечение бюджетной, экономической и социальной эффективности налоговых расходов;</w:t>
      </w:r>
    </w:p>
    <w:p>
      <w:pPr>
        <w:pStyle w:val="0"/>
        <w:spacing w:before="200" w:line-rule="auto"/>
        <w:ind w:firstLine="540"/>
        <w:jc w:val="both"/>
      </w:pPr>
      <w:r>
        <w:rPr>
          <w:sz w:val="20"/>
        </w:rPr>
        <w:t xml:space="preserve">- оказание содействия среднему и малому бизнесу для развития предпринимательской деятельности;</w:t>
      </w:r>
    </w:p>
    <w:p>
      <w:pPr>
        <w:pStyle w:val="0"/>
        <w:spacing w:before="200" w:line-rule="auto"/>
        <w:ind w:firstLine="540"/>
        <w:jc w:val="both"/>
      </w:pPr>
      <w:r>
        <w:rPr>
          <w:sz w:val="20"/>
        </w:rPr>
        <w:t xml:space="preserve">- усиление мер по укреплению налоговой дисциплины налогоплательщиков;</w:t>
      </w:r>
    </w:p>
    <w:p>
      <w:pPr>
        <w:pStyle w:val="0"/>
        <w:spacing w:before="200" w:line-rule="auto"/>
        <w:ind w:firstLine="540"/>
        <w:jc w:val="both"/>
      </w:pPr>
      <w:r>
        <w:rPr>
          <w:sz w:val="20"/>
        </w:rPr>
        <w:t xml:space="preserve">- повышение эффективности управления государственным имуществом Владимирской области.</w:t>
      </w:r>
    </w:p>
    <w:p>
      <w:pPr>
        <w:pStyle w:val="0"/>
        <w:spacing w:before="200" w:line-rule="auto"/>
        <w:ind w:firstLine="540"/>
        <w:jc w:val="both"/>
      </w:pPr>
      <w:r>
        <w:rPr>
          <w:sz w:val="20"/>
        </w:rPr>
        <w:t xml:space="preserve">В трехлетней перспективе будет продолжена работа по укреплению доходной базы бюджета области за счет наращивания стабильных доходных источников и мобилизации в бюджет имеющихся резервов.</w:t>
      </w:r>
    </w:p>
    <w:p>
      <w:pPr>
        <w:pStyle w:val="0"/>
        <w:spacing w:before="200" w:line-rule="auto"/>
        <w:ind w:firstLine="540"/>
        <w:jc w:val="both"/>
      </w:pPr>
      <w:r>
        <w:rPr>
          <w:sz w:val="20"/>
        </w:rPr>
        <w:t xml:space="preserve">Рост бюджетных поступлений планируется достичь за счет:</w:t>
      </w:r>
    </w:p>
    <w:p>
      <w:pPr>
        <w:pStyle w:val="0"/>
        <w:spacing w:before="200" w:line-rule="auto"/>
        <w:ind w:firstLine="540"/>
        <w:jc w:val="both"/>
      </w:pPr>
      <w:r>
        <w:rPr>
          <w:sz w:val="20"/>
        </w:rPr>
        <w:t xml:space="preserve">- роста инвестиционной и инновационной активности посредством оказания государственной поддержки инвесторам, в том числе за счет инвестиционных бюджетных кредитов из федерального бюджета, а также путем направления бюджетных инвестиций в объекты инфраструктуры за счет средств областного бюджета, высвобождаемых в результате проведенной реструктуризации бюджетных кредитов, предоставленных области из федерального бюджета;</w:t>
      </w:r>
    </w:p>
    <w:p>
      <w:pPr>
        <w:pStyle w:val="0"/>
        <w:spacing w:before="200" w:line-rule="auto"/>
        <w:ind w:firstLine="540"/>
        <w:jc w:val="both"/>
      </w:pPr>
      <w:r>
        <w:rPr>
          <w:sz w:val="20"/>
        </w:rPr>
        <w:t xml:space="preserve">- совершенствования применения специальных налоговых режимов для развития малого и среднего предпринимательства;</w:t>
      </w:r>
    </w:p>
    <w:p>
      <w:pPr>
        <w:pStyle w:val="0"/>
        <w:spacing w:before="200" w:line-rule="auto"/>
        <w:ind w:firstLine="540"/>
        <w:jc w:val="both"/>
      </w:pPr>
      <w:r>
        <w:rPr>
          <w:sz w:val="20"/>
        </w:rPr>
        <w:t xml:space="preserve">- выявления и пресечения схем минимизации налогов, совершенствования методов контроля легализации "теневой" заработной платы;</w:t>
      </w:r>
    </w:p>
    <w:p>
      <w:pPr>
        <w:pStyle w:val="0"/>
        <w:spacing w:before="200" w:line-rule="auto"/>
        <w:ind w:firstLine="540"/>
        <w:jc w:val="both"/>
      </w:pPr>
      <w:r>
        <w:rPr>
          <w:sz w:val="20"/>
        </w:rPr>
        <w:t xml:space="preserve">- расширения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pPr>
        <w:pStyle w:val="0"/>
        <w:spacing w:before="200" w:line-rule="auto"/>
        <w:ind w:firstLine="540"/>
        <w:jc w:val="both"/>
      </w:pPr>
      <w:r>
        <w:rPr>
          <w:sz w:val="20"/>
        </w:rPr>
        <w:t xml:space="preserve">- 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w:t>
      </w:r>
    </w:p>
    <w:p>
      <w:pPr>
        <w:pStyle w:val="0"/>
        <w:spacing w:before="200" w:line-rule="auto"/>
        <w:ind w:firstLine="540"/>
        <w:jc w:val="both"/>
      </w:pPr>
      <w:r>
        <w:rPr>
          <w:sz w:val="20"/>
        </w:rPr>
        <w:t xml:space="preserve">- проведения оценки социальной и бюджетной эффективности налоговых расходов консолидированного бюджета области;</w:t>
      </w:r>
    </w:p>
    <w:p>
      <w:pPr>
        <w:pStyle w:val="0"/>
        <w:spacing w:before="200" w:line-rule="auto"/>
        <w:ind w:firstLine="540"/>
        <w:jc w:val="both"/>
      </w:pPr>
      <w:r>
        <w:rPr>
          <w:sz w:val="20"/>
        </w:rPr>
        <w:t xml:space="preserve">- совершенствования управления областной и муниципальной собственностью.</w:t>
      </w:r>
    </w:p>
    <w:p>
      <w:pPr>
        <w:pStyle w:val="0"/>
        <w:spacing w:before="200" w:line-rule="auto"/>
        <w:ind w:firstLine="540"/>
        <w:jc w:val="both"/>
      </w:pPr>
      <w:r>
        <w:rPr>
          <w:sz w:val="20"/>
        </w:rPr>
        <w:t xml:space="preserve">Координация работы органов государственной власти и органов местного самоуправления по мобилизации доходов в бюджет области будет осуществляться в рамках деятельности межведомственных рабочих групп и комиссий по платежам в областной и местные бюджеты и легализации объектов налогообложения.</w:t>
      </w:r>
    </w:p>
    <w:p>
      <w:pPr>
        <w:pStyle w:val="0"/>
        <w:spacing w:before="200" w:line-rule="auto"/>
        <w:ind w:firstLine="540"/>
        <w:jc w:val="both"/>
      </w:pPr>
      <w:r>
        <w:rPr>
          <w:sz w:val="20"/>
        </w:rPr>
        <w:t xml:space="preserve">При формировании основных направлений налоговой политики области учтены внесенные изменения в налоговое и бюджетное законодательство, которое было принято в целях создания стабильных условий для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pPr>
        <w:pStyle w:val="0"/>
        <w:spacing w:before="200" w:line-rule="auto"/>
        <w:ind w:firstLine="540"/>
        <w:jc w:val="both"/>
      </w:pPr>
      <w:r>
        <w:rPr>
          <w:sz w:val="20"/>
        </w:rPr>
        <w:t xml:space="preserve">Изменения, внесенные на федеральном уровне:</w:t>
      </w:r>
    </w:p>
    <w:p>
      <w:pPr>
        <w:pStyle w:val="0"/>
        <w:spacing w:before="200" w:line-rule="auto"/>
        <w:ind w:firstLine="540"/>
        <w:jc w:val="both"/>
      </w:pPr>
      <w:r>
        <w:rPr>
          <w:sz w:val="20"/>
        </w:rPr>
        <w:t xml:space="preserve">- увеличивается с 1 января 2025 года норматив зачисления акцизов на нефтепродукты в бюджеты субъектов Российской Федерации с 74,9% до 100%;</w:t>
      </w:r>
    </w:p>
    <w:p>
      <w:pPr>
        <w:pStyle w:val="0"/>
        <w:spacing w:before="200" w:line-rule="auto"/>
        <w:ind w:firstLine="540"/>
        <w:jc w:val="both"/>
      </w:pPr>
      <w:r>
        <w:rPr>
          <w:sz w:val="20"/>
        </w:rPr>
        <w:t xml:space="preserve">- до 31 декабря 2024 года для аккредитованных ИТ-компаний установлена налоговая ставка по налогу на прибыль организаций в размере 0 процентов;</w:t>
      </w:r>
    </w:p>
    <w:p>
      <w:pPr>
        <w:pStyle w:val="0"/>
        <w:spacing w:before="200" w:line-rule="auto"/>
        <w:ind w:firstLine="540"/>
        <w:jc w:val="both"/>
      </w:pPr>
      <w:r>
        <w:rPr>
          <w:sz w:val="20"/>
        </w:rPr>
        <w:t xml:space="preserve">- не облагаются налогом на доходы физических лиц доходы в виде материальной выгоды, полученные в 2022 и 2023 годах от экономии на процентах за пользование заемными (кредитными) средствами;</w:t>
      </w:r>
    </w:p>
    <w:p>
      <w:pPr>
        <w:pStyle w:val="0"/>
        <w:spacing w:before="200" w:line-rule="auto"/>
        <w:ind w:firstLine="540"/>
        <w:jc w:val="both"/>
      </w:pPr>
      <w:r>
        <w:rPr>
          <w:sz w:val="20"/>
        </w:rPr>
        <w:t xml:space="preserve">- для расчета транспортного налога с 2022 года повышающий коэффициент будет применяться только для транспортных средств стоимостью свыше 10 млн. рублей;</w:t>
      </w:r>
    </w:p>
    <w:p>
      <w:pPr>
        <w:pStyle w:val="0"/>
        <w:spacing w:before="200" w:line-rule="auto"/>
        <w:ind w:firstLine="540"/>
        <w:jc w:val="both"/>
      </w:pPr>
      <w:r>
        <w:rPr>
          <w:sz w:val="20"/>
        </w:rPr>
        <w:t xml:space="preserve">- в отношении объектов недвижимости, налоговая база по которым определяется исходя из кадастровой стоимости, в 2023 году для расчета налога на имущество организаций будет применяться кадастровая стоимость по состоянию на 1 января 2022 года;</w:t>
      </w:r>
    </w:p>
    <w:p>
      <w:pPr>
        <w:pStyle w:val="0"/>
        <w:spacing w:before="200" w:line-rule="auto"/>
        <w:ind w:firstLine="540"/>
        <w:jc w:val="both"/>
      </w:pPr>
      <w:r>
        <w:rPr>
          <w:sz w:val="20"/>
        </w:rPr>
        <w:t xml:space="preserve">- расчет земельного налога за налоговый период 2023 года будет производиться исходя из кадастровой стоимости по состоянию на 1 января 2022 года;</w:t>
      </w:r>
    </w:p>
    <w:p>
      <w:pPr>
        <w:pStyle w:val="0"/>
        <w:spacing w:before="200" w:line-rule="auto"/>
        <w:ind w:firstLine="540"/>
        <w:jc w:val="both"/>
      </w:pPr>
      <w:r>
        <w:rPr>
          <w:sz w:val="20"/>
        </w:rPr>
        <w:t xml:space="preserve">- освобождены от уплаты налога на прибыль сельские дома и дворцы культуры, клубы, учредителями которых являются муниципальные образования;</w:t>
      </w:r>
    </w:p>
    <w:p>
      <w:pPr>
        <w:pStyle w:val="0"/>
        <w:spacing w:before="200" w:line-rule="auto"/>
        <w:ind w:firstLine="540"/>
        <w:jc w:val="both"/>
      </w:pPr>
      <w:r>
        <w:rPr>
          <w:sz w:val="20"/>
        </w:rPr>
        <w:t xml:space="preserve">- отменяется с 1 января 2023 года институт консолидированной группы налогоплательщиков;</w:t>
      </w:r>
    </w:p>
    <w:p>
      <w:pPr>
        <w:pStyle w:val="0"/>
        <w:spacing w:before="200" w:line-rule="auto"/>
        <w:ind w:firstLine="540"/>
        <w:jc w:val="both"/>
      </w:pPr>
      <w:r>
        <w:rPr>
          <w:sz w:val="20"/>
        </w:rPr>
        <w:t xml:space="preserve">- продлевается до 2024 года порядок зачисления налога на прибыль организаций в федеральный бюджет по ставке 3%, в бюджеты субъектов Российской Федерации - по ставке 17%;</w:t>
      </w:r>
    </w:p>
    <w:p>
      <w:pPr>
        <w:pStyle w:val="0"/>
        <w:spacing w:before="200" w:line-rule="auto"/>
        <w:ind w:firstLine="540"/>
        <w:jc w:val="both"/>
      </w:pPr>
      <w:r>
        <w:rPr>
          <w:sz w:val="20"/>
        </w:rPr>
        <w:t xml:space="preserve">- введен институт "единого налогового платежа", предполагающего уплату имущественных налогов одним платежным поручением.</w:t>
      </w:r>
    </w:p>
    <w:p>
      <w:pPr>
        <w:pStyle w:val="0"/>
        <w:spacing w:before="200" w:line-rule="auto"/>
        <w:ind w:firstLine="540"/>
        <w:jc w:val="both"/>
      </w:pPr>
      <w:r>
        <w:rPr>
          <w:sz w:val="20"/>
        </w:rPr>
        <w:t xml:space="preserve">Изменения, внесенные на региональном уровне:</w:t>
      </w:r>
    </w:p>
    <w:p>
      <w:pPr>
        <w:pStyle w:val="0"/>
        <w:spacing w:before="200" w:line-rule="auto"/>
        <w:ind w:firstLine="540"/>
        <w:jc w:val="both"/>
      </w:pPr>
      <w:r>
        <w:rPr>
          <w:sz w:val="20"/>
        </w:rPr>
        <w:t xml:space="preserve">- для представителей малого и среднего предпринимательства, находящихся на упрощенной системе налогообложения, снижена на 2022 год налоговая ставка по налогу на имущество с 0,5% до 0,1% в отношении объектов недвижимого имущества, налоговая база по которым определяется как кадастровая стоимость;</w:t>
      </w:r>
    </w:p>
    <w:p>
      <w:pPr>
        <w:pStyle w:val="0"/>
        <w:spacing w:before="200" w:line-rule="auto"/>
        <w:ind w:firstLine="540"/>
        <w:jc w:val="both"/>
      </w:pPr>
      <w:r>
        <w:rPr>
          <w:sz w:val="20"/>
        </w:rPr>
        <w:t xml:space="preserve">- освобождены в 2022 году от уплаты налога на имущество в размере 50% организации, осуществляющие производство хлеба и хлебобулочных изделий;</w:t>
      </w:r>
    </w:p>
    <w:p>
      <w:pPr>
        <w:pStyle w:val="0"/>
        <w:spacing w:before="200" w:line-rule="auto"/>
        <w:ind w:firstLine="540"/>
        <w:jc w:val="both"/>
      </w:pPr>
      <w:r>
        <w:rPr>
          <w:sz w:val="20"/>
        </w:rPr>
        <w:t xml:space="preserve">- установлена налоговая льгота по налогу на имущество для организаций, реализующих в области инвестиционные проекты в сфере обращения с твердыми коммунальными отходами (обработка, утилизация), в отношении имущества, созданного и (или) приобретенного в рамках реализуемого проекта;</w:t>
      </w:r>
    </w:p>
    <w:p>
      <w:pPr>
        <w:pStyle w:val="0"/>
        <w:spacing w:before="200" w:line-rule="auto"/>
        <w:ind w:firstLine="540"/>
        <w:jc w:val="both"/>
      </w:pPr>
      <w:r>
        <w:rPr>
          <w:sz w:val="20"/>
        </w:rPr>
        <w:t xml:space="preserve">- освобождены от налога на имущество организаций специально созданные организации, которые реализуют мероприятия по догазификации населенных пунктов Владимирской области в отношении газопроводов газораспределительной сети, вновь введенных в эксплуатацию с 1 января 2022 года;</w:t>
      </w:r>
    </w:p>
    <w:p>
      <w:pPr>
        <w:pStyle w:val="0"/>
        <w:spacing w:before="200" w:line-rule="auto"/>
        <w:ind w:firstLine="540"/>
        <w:jc w:val="both"/>
      </w:pPr>
      <w:r>
        <w:rPr>
          <w:sz w:val="20"/>
        </w:rPr>
        <w:t xml:space="preserve">- установлена налоговая льгота для негосударственных и немуниципальных организаций - в отношении имущества, используемого в деятельности музеев;</w:t>
      </w:r>
    </w:p>
    <w:p>
      <w:pPr>
        <w:pStyle w:val="0"/>
        <w:spacing w:before="200" w:line-rule="auto"/>
        <w:ind w:firstLine="540"/>
        <w:jc w:val="both"/>
      </w:pPr>
      <w:r>
        <w:rPr>
          <w:sz w:val="20"/>
        </w:rPr>
        <w:t xml:space="preserve">- освобождены от налога на имущество организации в отношении имущества жилых помещений, введенных в эксплуатацию после 1 января 2022 года и используемых физическими лицами для целей, не связанных с осуществлением предпринимательской деятельности, на основании договора аренды (найма) и (или) договоров безвозмездного пользования.</w:t>
      </w:r>
    </w:p>
    <w:p>
      <w:pPr>
        <w:pStyle w:val="0"/>
        <w:spacing w:before="200" w:line-rule="auto"/>
        <w:ind w:firstLine="540"/>
        <w:jc w:val="both"/>
      </w:pPr>
      <w:r>
        <w:rPr>
          <w:sz w:val="20"/>
        </w:rPr>
        <w:t xml:space="preserve">На областном уровне сохраняются налоговые расходы (налоговые льготы и налоговые вычеты):</w:t>
      </w:r>
    </w:p>
    <w:p>
      <w:pPr>
        <w:pStyle w:val="0"/>
        <w:spacing w:before="200" w:line-rule="auto"/>
        <w:ind w:firstLine="540"/>
        <w:jc w:val="both"/>
      </w:pPr>
      <w:r>
        <w:rPr>
          <w:sz w:val="20"/>
        </w:rPr>
        <w:t xml:space="preserve">- для инвесторов - по налогу на прибыль организаций и по налогу на имущество организаций в зависимости от категории инвестиционного проекта и объема инвестиций (</w:t>
      </w:r>
      <w:hyperlink w:history="0" r:id="rId27" w:tooltip="Закон Владимирской области от 12.11.2015 N 157-ОЗ (ред. от 08.11.2022) &quot;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quot; (принят постановлением ЗС Владимирской области от 28.10.2015 N 286) {КонсультантПлюс}">
        <w:r>
          <w:rPr>
            <w:sz w:val="20"/>
            <w:color w:val="0000ff"/>
          </w:rPr>
          <w:t xml:space="preserve">Закон</w:t>
        </w:r>
      </w:hyperlink>
      <w:r>
        <w:rPr>
          <w:sz w:val="20"/>
        </w:rPr>
        <w:t xml:space="preserve"> области от 12 ноября 2015 года N 157-ОЗ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 и </w:t>
      </w:r>
      <w:hyperlink w:history="0" r:id="rId28" w:tooltip="Закон Владимирской области от 12.11.2003 N 110-ОЗ (ред. от 08.11.2022) &quot;О налоге на имущество организаций&quot; (принят постановлением ЗС Владимирской области от 29.10.2003 N 568) (с изм. и доп., вступившими в силу с 01.01.2023) {КонсультантПлюс}">
        <w:r>
          <w:rPr>
            <w:sz w:val="20"/>
            <w:color w:val="0000ff"/>
          </w:rPr>
          <w:t xml:space="preserve">Закон</w:t>
        </w:r>
      </w:hyperlink>
      <w:r>
        <w:rPr>
          <w:sz w:val="20"/>
        </w:rPr>
        <w:t xml:space="preserve"> области от 12 ноября 2003 года N 110-ОЗ "О налоге на имущество организаций");</w:t>
      </w:r>
    </w:p>
    <w:p>
      <w:pPr>
        <w:pStyle w:val="0"/>
        <w:spacing w:before="200" w:line-rule="auto"/>
        <w:ind w:firstLine="540"/>
        <w:jc w:val="both"/>
      </w:pPr>
      <w:r>
        <w:rPr>
          <w:sz w:val="20"/>
        </w:rPr>
        <w:t xml:space="preserve">- для участников региональных инвестиционных проектов - по налогу на прибыль организаций в виде установления пониженной ставки налога на прибыль в размере 10% (</w:t>
      </w:r>
      <w:hyperlink w:history="0" r:id="rId29"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года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участников специальных инвестиционных контрактов - по налогу на прибыль организаций в виде установления пониженной налоговой ставки в размере 5% (</w:t>
      </w:r>
      <w:hyperlink w:history="0" r:id="rId30"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года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резидентов территории опережающего социально-экономического развития - по налогу на прибыль организаций в виде установления ставки в размере 0% в течение пяти налоговых периодов, 10% - в течение следующих пяти налоговых периодов и по налогу на имущество организаций - в виде полного освобождения в течение 10 лет (</w:t>
      </w:r>
      <w:hyperlink w:history="0" r:id="rId31" w:tooltip="Закон Владимирской области от 04.05.2018 N 48-ОЗ (ред. от 08.11.2022) &quot;Об установлении пониженной налоговой ставки налога на прибыль организаций для резидентов территорий опережающего развития, созданных на территориях монопрофильных муниципальных образований (моногородов) Владимирской области&quot; (принят постановлением ЗС Владимирской области от 25.04.2018 N 105) {КонсультантПлюс}">
        <w:r>
          <w:rPr>
            <w:sz w:val="20"/>
            <w:color w:val="0000ff"/>
          </w:rPr>
          <w:t xml:space="preserve">Закон</w:t>
        </w:r>
      </w:hyperlink>
      <w:r>
        <w:rPr>
          <w:sz w:val="20"/>
        </w:rPr>
        <w:t xml:space="preserve"> области от 4 мая 2018 года N 48-ОЗ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монопрофильных муниципальных образований (моногородов) Владимирской области" и </w:t>
      </w:r>
      <w:hyperlink w:history="0" r:id="rId32" w:tooltip="Закон Владимирской области от 12.11.2003 N 110-ОЗ (ред. от 08.11.2022) &quot;О налоге на имущество организаций&quot; (принят постановлением ЗС Владимирской области от 29.10.2003 N 568) (с изм. и доп., вступившими в силу с 01.01.2023) {КонсультантПлюс}">
        <w:r>
          <w:rPr>
            <w:sz w:val="20"/>
            <w:color w:val="0000ff"/>
          </w:rPr>
          <w:t xml:space="preserve">Закон</w:t>
        </w:r>
      </w:hyperlink>
      <w:r>
        <w:rPr>
          <w:sz w:val="20"/>
        </w:rPr>
        <w:t xml:space="preserve"> области от 12 ноября 2003 года N 110-ОЗ "О налоге на имущество организаций");</w:t>
      </w:r>
    </w:p>
    <w:p>
      <w:pPr>
        <w:pStyle w:val="0"/>
        <w:spacing w:before="200" w:line-rule="auto"/>
        <w:ind w:firstLine="540"/>
        <w:jc w:val="both"/>
      </w:pPr>
      <w:r>
        <w:rPr>
          <w:sz w:val="20"/>
        </w:rPr>
        <w:t xml:space="preserve">- для резидентов особых экономических зон промышленно-производственного типа - по налогу на прибыль организаций в виде установления ставки в размере 0% в течение семи налоговых периодов, 5% - в период с восьмого по двенадцатый налоговый период включительно, 13,5% - по истечении двенадцати налоговых периодов, а также по транспортному налогу - в виде полного освобождения от уплаты налога в отношении грузовых автомобилей, автобусов и других самоходных машин и механизмов на пневматическом и гусеничном ходу в течение десяти налоговых периодов (</w:t>
      </w:r>
      <w:hyperlink w:history="0" r:id="rId33" w:tooltip="Закон Владимирской области от 28.11.2019 N 102-ОЗ &quot;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quot; (принят постановлением ЗС Владимирской области от 26.11.2019 N 360) {КонсультантПлюс}">
        <w:r>
          <w:rPr>
            <w:sz w:val="20"/>
            <w:color w:val="0000ff"/>
          </w:rPr>
          <w:t xml:space="preserve">Закон</w:t>
        </w:r>
      </w:hyperlink>
      <w:r>
        <w:rPr>
          <w:sz w:val="20"/>
        </w:rPr>
        <w:t xml:space="preserve"> области от 28 ноября 2019 года N 102-ОЗ "Об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 и </w:t>
      </w:r>
      <w:hyperlink w:history="0" r:id="rId34"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года N 119-ОЗ "О транспортном налоге");</w:t>
      </w:r>
    </w:p>
    <w:p>
      <w:pPr>
        <w:pStyle w:val="0"/>
        <w:spacing w:before="200" w:line-rule="auto"/>
        <w:ind w:firstLine="540"/>
        <w:jc w:val="both"/>
      </w:pPr>
      <w:r>
        <w:rPr>
          <w:sz w:val="20"/>
        </w:rPr>
        <w:t xml:space="preserve">- инвестиционный налоговый вычет - для стимулирования налогоплательщиков к обновлению основных фондов (</w:t>
      </w:r>
      <w:hyperlink w:history="0" r:id="rId35" w:tooltip="Закон Владимирской области от 10.08.2020 N 58-ОЗ (ред. от 29.11.2022) &quot;О применении на территории Владимирской области инвестиционного налогового вычета по налогу на прибыль организаций&quot; (принят постановлением ЗС Владимирской области от 28.07.2020 N 187) {КонсультантПлюс}">
        <w:r>
          <w:rPr>
            <w:sz w:val="20"/>
            <w:color w:val="0000ff"/>
          </w:rPr>
          <w:t xml:space="preserve">Закон</w:t>
        </w:r>
      </w:hyperlink>
      <w:r>
        <w:rPr>
          <w:sz w:val="20"/>
        </w:rPr>
        <w:t xml:space="preserve"> области от 10 августа 2020 года N 58-ОЗ "О применении на территории Владимирской области инвестиционного налогового вычета по налогу на прибыль организаций").</w:t>
      </w:r>
    </w:p>
    <w:p>
      <w:pPr>
        <w:pStyle w:val="0"/>
        <w:spacing w:before="200" w:line-rule="auto"/>
        <w:ind w:firstLine="540"/>
        <w:jc w:val="both"/>
      </w:pPr>
      <w:r>
        <w:rPr>
          <w:sz w:val="20"/>
        </w:rPr>
        <w:t xml:space="preserve">В целях социальной поддержки граждан сохраняются льготы по транспортному налогу с физических лиц (</w:t>
      </w:r>
      <w:hyperlink w:history="0" r:id="rId36"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года N 119-ОЗ "О транспортном налоге"):</w:t>
      </w:r>
    </w:p>
    <w:p>
      <w:pPr>
        <w:pStyle w:val="0"/>
        <w:spacing w:before="200" w:line-rule="auto"/>
        <w:ind w:firstLine="540"/>
        <w:jc w:val="both"/>
      </w:pPr>
      <w:r>
        <w:rPr>
          <w:sz w:val="20"/>
        </w:rPr>
        <w:t xml:space="preserve">- родителям (усыновителям, опекунам, попечителям), имеющим детей-инвалидов;</w:t>
      </w:r>
    </w:p>
    <w:p>
      <w:pPr>
        <w:pStyle w:val="0"/>
        <w:spacing w:before="200" w:line-rule="auto"/>
        <w:ind w:firstLine="540"/>
        <w:jc w:val="both"/>
      </w:pPr>
      <w:r>
        <w:rPr>
          <w:sz w:val="20"/>
        </w:rPr>
        <w:t xml:space="preserve">- многодетным семьям;</w:t>
      </w:r>
    </w:p>
    <w:p>
      <w:pPr>
        <w:pStyle w:val="0"/>
        <w:spacing w:before="200" w:line-rule="auto"/>
        <w:ind w:firstLine="540"/>
        <w:jc w:val="both"/>
      </w:pPr>
      <w:r>
        <w:rPr>
          <w:sz w:val="20"/>
        </w:rPr>
        <w:t xml:space="preserve">- мужчинам, достигшим возраста 60 лет, и женщинам, достигшим возраста 55 лет;</w:t>
      </w:r>
    </w:p>
    <w:p>
      <w:pPr>
        <w:pStyle w:val="0"/>
        <w:spacing w:before="200" w:line-rule="auto"/>
        <w:ind w:firstLine="540"/>
        <w:jc w:val="both"/>
      </w:pPr>
      <w:r>
        <w:rPr>
          <w:sz w:val="20"/>
        </w:rPr>
        <w:t xml:space="preserve">- военнослужащим войск национальной гвардии;</w:t>
      </w:r>
    </w:p>
    <w:p>
      <w:pPr>
        <w:pStyle w:val="0"/>
        <w:spacing w:before="200" w:line-rule="auto"/>
        <w:ind w:firstLine="540"/>
        <w:jc w:val="both"/>
      </w:pPr>
      <w:r>
        <w:rPr>
          <w:sz w:val="20"/>
        </w:rPr>
        <w:t xml:space="preserve">- ветеранам боевых действий.</w:t>
      </w:r>
    </w:p>
    <w:p>
      <w:pPr>
        <w:pStyle w:val="0"/>
        <w:spacing w:before="200" w:line-rule="auto"/>
        <w:ind w:firstLine="540"/>
        <w:jc w:val="both"/>
      </w:pPr>
      <w:r>
        <w:rPr>
          <w:sz w:val="20"/>
        </w:rPr>
        <w:t xml:space="preserve">Кроме того, в условиях экономического кризиса важна поддержка физических лиц, осуществляемая через стандартные, социальные и имущественные налоговые вычеты. В настоящее время в целях ускоренного получения физическими лицами налоговых вычетов по налогу на доходы физических лиц сокращен срок проверки деклараций налоговыми органами с 90 до 30 дней. По состоянию на 1 апреля 2022 года заявленная к возврату сумма налога на доходы физических лиц составила 1700 млн. рублей с приростом к уровню 2021 года на 32%. Возвращено налога на доходы физических лиц за этот период налогоплательщикам в сумме 565,1 млн. рублей, что в 2 раза превысило сумму аналогичного периода 2021 года.</w:t>
      </w:r>
    </w:p>
    <w:p>
      <w:pPr>
        <w:pStyle w:val="0"/>
        <w:spacing w:before="200" w:line-rule="auto"/>
        <w:ind w:firstLine="540"/>
        <w:jc w:val="both"/>
      </w:pPr>
      <w:r>
        <w:rPr>
          <w:sz w:val="20"/>
        </w:rPr>
        <w:t xml:space="preserve">Объем налоговых расходов областного бюджета оценочно составит в 2023 году 9962,1 млн. рублей, в 2024 году - 10380,7 млн. рублей, в 2025 году - 10797,2 млн. рублей.</w:t>
      </w:r>
    </w:p>
    <w:p>
      <w:pPr>
        <w:pStyle w:val="0"/>
        <w:spacing w:before="200" w:line-rule="auto"/>
        <w:ind w:firstLine="540"/>
        <w:jc w:val="both"/>
      </w:pPr>
      <w:r>
        <w:rPr>
          <w:sz w:val="20"/>
        </w:rPr>
        <w:t xml:space="preserve">Результатом всех принимаемых в области мер поддержки организаций и индивидуальных предпринимателей будет рост инвестиций, создание новых рабочих мест с достойной заработной платой и, как следствие, рост валового регионального продукта.</w:t>
      </w:r>
    </w:p>
    <w:p>
      <w:pPr>
        <w:pStyle w:val="0"/>
        <w:spacing w:before="200" w:line-rule="auto"/>
        <w:ind w:firstLine="540"/>
        <w:jc w:val="both"/>
      </w:pPr>
      <w:r>
        <w:rPr>
          <w:sz w:val="20"/>
        </w:rPr>
        <w:t xml:space="preserve">В соответствии со </w:t>
      </w:r>
      <w:hyperlink w:history="0" r:id="rId37"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174.3</w:t>
        </w:r>
      </w:hyperlink>
      <w:r>
        <w:rPr>
          <w:sz w:val="20"/>
        </w:rPr>
        <w:t xml:space="preserve"> Бюджетного кодекса Российской Федерации ежегодно формируется перечень налоговых расходов Владимирской области в порядке, установленном </w:t>
      </w:r>
      <w:hyperlink w:history="0" r:id="rId38" w:tooltip="Постановление Правительства РФ от 12.04.2019 N 439 (ред. от 08.02.2022) &quot;Об утверждении Правил формирования перечня налоговых расходов Российской Федерации и оценки налоговых расходов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12 апреля 2019 г. N 439 "Об утверждении Правил формирования перечня налоговых расходов Российской Федерации и оценки налоговых расходов Российской Федерации".</w:t>
      </w:r>
    </w:p>
    <w:p>
      <w:pPr>
        <w:pStyle w:val="0"/>
        <w:spacing w:before="200" w:line-rule="auto"/>
        <w:ind w:firstLine="540"/>
        <w:jc w:val="both"/>
      </w:pPr>
      <w:r>
        <w:rPr>
          <w:sz w:val="20"/>
        </w:rPr>
        <w:t xml:space="preserve">Оценка налоговых расходов Владимирской области осуществляется кураторами налоговых расходов ежегодно в соответствии с </w:t>
      </w:r>
      <w:hyperlink w:history="0" r:id="rId39" w:tooltip="Постановление Правительства РФ от 22.06.2019 N 796 (ред. от 15.06.2022) &quot;Об общих требованиях к оценке налоговых расходов субъектов Российской Федерации и муниципальных образований&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22 июня 2019 года N 796 "Об общих требованиях к оценке налоговых расходов субъектов Российской Федерации и муниципальных образований" и </w:t>
      </w:r>
      <w:hyperlink w:history="0" r:id="rId40" w:tooltip="Постановление администрации Владимирской обл. от 06.09.2019 N 629 &quot;Об утверждении Порядка формирования перечня налоговых расходов Владимирской области и оценки налоговых расходов Владимирской области&quot; {КонсультантПлюс}">
        <w:r>
          <w:rPr>
            <w:sz w:val="20"/>
            <w:color w:val="0000ff"/>
          </w:rPr>
          <w:t xml:space="preserve">постановлением</w:t>
        </w:r>
      </w:hyperlink>
      <w:r>
        <w:rPr>
          <w:sz w:val="20"/>
        </w:rPr>
        <w:t xml:space="preserve"> администрации области от 6 сентября 2019 года N 629 "Об утверждении Порядка формирования перечня налоговых расходов Владимирской области и оценки налоговых расходов Владимирской области" (таблица 3).</w:t>
      </w:r>
    </w:p>
    <w:p>
      <w:pPr>
        <w:pStyle w:val="0"/>
        <w:jc w:val="both"/>
      </w:pPr>
      <w:r>
        <w:rPr>
          <w:sz w:val="20"/>
        </w:rPr>
      </w:r>
    </w:p>
    <w:p>
      <w:pPr>
        <w:pStyle w:val="0"/>
        <w:outlineLvl w:val="2"/>
        <w:jc w:val="right"/>
      </w:pPr>
      <w:r>
        <w:rPr>
          <w:sz w:val="20"/>
        </w:rPr>
        <w:t xml:space="preserve">Таблица 3</w:t>
      </w:r>
    </w:p>
    <w:p>
      <w:pPr>
        <w:pStyle w:val="0"/>
        <w:jc w:val="both"/>
      </w:pPr>
      <w:r>
        <w:rPr>
          <w:sz w:val="20"/>
        </w:rPr>
      </w:r>
    </w:p>
    <w:p>
      <w:pPr>
        <w:pStyle w:val="2"/>
        <w:jc w:val="center"/>
      </w:pPr>
      <w:r>
        <w:rPr>
          <w:sz w:val="20"/>
        </w:rPr>
        <w:t xml:space="preserve">Органы исполнительной власти области - кураторы</w:t>
      </w:r>
    </w:p>
    <w:p>
      <w:pPr>
        <w:pStyle w:val="2"/>
        <w:jc w:val="center"/>
      </w:pPr>
      <w:r>
        <w:rPr>
          <w:sz w:val="20"/>
        </w:rPr>
        <w:t xml:space="preserve">налоговых расходов области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2268"/>
        <w:gridCol w:w="3912"/>
      </w:tblGrid>
      <w:tr>
        <w:tc>
          <w:tcPr>
            <w:tcW w:w="567" w:type="dxa"/>
          </w:tcPr>
          <w:p>
            <w:pPr>
              <w:pStyle w:val="0"/>
              <w:jc w:val="center"/>
            </w:pPr>
            <w:r>
              <w:rPr>
                <w:sz w:val="20"/>
              </w:rPr>
              <w:t xml:space="preserve">N п/п</w:t>
            </w:r>
          </w:p>
        </w:tc>
        <w:tc>
          <w:tcPr>
            <w:tcW w:w="2268" w:type="dxa"/>
          </w:tcPr>
          <w:p>
            <w:pPr>
              <w:pStyle w:val="0"/>
              <w:jc w:val="center"/>
            </w:pPr>
            <w:r>
              <w:rPr>
                <w:sz w:val="20"/>
              </w:rPr>
              <w:t xml:space="preserve">Органы исполнительной власти области - кураторы налоговых расходов области</w:t>
            </w:r>
          </w:p>
        </w:tc>
        <w:tc>
          <w:tcPr>
            <w:tcW w:w="2268" w:type="dxa"/>
          </w:tcPr>
          <w:p>
            <w:pPr>
              <w:pStyle w:val="0"/>
              <w:jc w:val="center"/>
            </w:pPr>
            <w:r>
              <w:rPr>
                <w:sz w:val="20"/>
              </w:rPr>
              <w:t xml:space="preserve">Наименование налогов, по которым предусмотрены налоговые льготы, освобождения и иные преференции, установленные нормативными правовыми актами области</w:t>
            </w:r>
          </w:p>
        </w:tc>
        <w:tc>
          <w:tcPr>
            <w:tcW w:w="3912" w:type="dxa"/>
          </w:tcPr>
          <w:p>
            <w:pPr>
              <w:pStyle w:val="0"/>
              <w:jc w:val="center"/>
            </w:pPr>
            <w:r>
              <w:rPr>
                <w:sz w:val="20"/>
              </w:rPr>
              <w:t xml:space="preserve">Категория плательщиков налогов, для которых предусмотрены налоговые льготы, освобождения и иные преференции</w:t>
            </w:r>
          </w:p>
        </w:tc>
      </w:tr>
      <w:tr>
        <w:tc>
          <w:tcPr>
            <w:tcW w:w="567" w:type="dxa"/>
          </w:tcPr>
          <w:p>
            <w:pPr>
              <w:pStyle w:val="0"/>
              <w:jc w:val="center"/>
            </w:pPr>
            <w:r>
              <w:rPr>
                <w:sz w:val="20"/>
              </w:rPr>
              <w:t xml:space="preserve">1</w:t>
            </w:r>
          </w:p>
        </w:tc>
        <w:tc>
          <w:tcPr>
            <w:tcW w:w="2268" w:type="dxa"/>
          </w:tcPr>
          <w:p>
            <w:pPr>
              <w:pStyle w:val="0"/>
              <w:jc w:val="center"/>
            </w:pPr>
            <w:r>
              <w:rPr>
                <w:sz w:val="20"/>
              </w:rPr>
              <w:t xml:space="preserve">2</w:t>
            </w:r>
          </w:p>
        </w:tc>
        <w:tc>
          <w:tcPr>
            <w:tcW w:w="2268" w:type="dxa"/>
          </w:tcPr>
          <w:p>
            <w:pPr>
              <w:pStyle w:val="0"/>
              <w:jc w:val="center"/>
            </w:pPr>
            <w:r>
              <w:rPr>
                <w:sz w:val="20"/>
              </w:rPr>
              <w:t xml:space="preserve">3</w:t>
            </w:r>
          </w:p>
        </w:tc>
        <w:tc>
          <w:tcPr>
            <w:tcW w:w="3912" w:type="dxa"/>
          </w:tcPr>
          <w:p>
            <w:pPr>
              <w:pStyle w:val="0"/>
              <w:jc w:val="center"/>
            </w:pPr>
            <w:r>
              <w:rPr>
                <w:sz w:val="20"/>
              </w:rPr>
              <w:t xml:space="preserve">4</w:t>
            </w:r>
          </w:p>
        </w:tc>
      </w:tr>
      <w:tr>
        <w:tc>
          <w:tcPr>
            <w:tcW w:w="567" w:type="dxa"/>
            <w:vMerge w:val="restart"/>
          </w:tcPr>
          <w:p>
            <w:pPr>
              <w:pStyle w:val="0"/>
            </w:pPr>
            <w:r>
              <w:rPr>
                <w:sz w:val="20"/>
              </w:rPr>
              <w:t xml:space="preserve">1.</w:t>
            </w:r>
          </w:p>
        </w:tc>
        <w:tc>
          <w:tcPr>
            <w:tcW w:w="2268" w:type="dxa"/>
            <w:vMerge w:val="restart"/>
          </w:tcPr>
          <w:p>
            <w:pPr>
              <w:pStyle w:val="0"/>
            </w:pPr>
            <w:r>
              <w:rPr>
                <w:sz w:val="20"/>
              </w:rPr>
              <w:t xml:space="preserve">Департамент экономического развития Владимирской области</w:t>
            </w:r>
          </w:p>
        </w:tc>
        <w:tc>
          <w:tcPr>
            <w:tcW w:w="2268" w:type="dxa"/>
          </w:tcPr>
          <w:p>
            <w:pPr>
              <w:pStyle w:val="0"/>
            </w:pPr>
            <w:r>
              <w:rPr>
                <w:sz w:val="20"/>
              </w:rPr>
              <w:t xml:space="preserve">Налог на прибыль организаций</w:t>
            </w:r>
          </w:p>
        </w:tc>
        <w:tc>
          <w:tcPr>
            <w:tcW w:w="391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p>
            <w:pPr>
              <w:pStyle w:val="0"/>
            </w:pPr>
            <w:r>
              <w:rPr>
                <w:sz w:val="20"/>
              </w:rPr>
              <w:t xml:space="preserve">- организации-резиденты особых экономических зон промышленно-производственного типа;</w:t>
            </w:r>
          </w:p>
          <w:p>
            <w:pPr>
              <w:pStyle w:val="0"/>
            </w:pPr>
            <w:r>
              <w:rPr>
                <w:sz w:val="20"/>
              </w:rPr>
              <w:t xml:space="preserve">- участники специальных инвестиционных контрактов;</w:t>
            </w:r>
          </w:p>
          <w:p>
            <w:pPr>
              <w:pStyle w:val="0"/>
            </w:pPr>
            <w:r>
              <w:rPr>
                <w:sz w:val="20"/>
              </w:rPr>
              <w:t xml:space="preserve">- участники региональных инвестиционных проектов;</w:t>
            </w:r>
          </w:p>
          <w:p>
            <w:pPr>
              <w:pStyle w:val="0"/>
            </w:pPr>
            <w:r>
              <w:rPr>
                <w:sz w:val="20"/>
              </w:rPr>
              <w:t xml:space="preserve">- организации особой экономической зоны;</w:t>
            </w:r>
          </w:p>
          <w:p>
            <w:pPr>
              <w:pStyle w:val="0"/>
            </w:pPr>
            <w:r>
              <w:rPr>
                <w:sz w:val="20"/>
              </w:rPr>
              <w:t xml:space="preserve">- организации, применяющие инвестиционный налоговый вычет</w:t>
            </w:r>
          </w:p>
        </w:tc>
      </w:tr>
      <w:tr>
        <w:tc>
          <w:tcPr>
            <w:vMerge w:val="continue"/>
          </w:tcPr>
          <w:p/>
        </w:tc>
        <w:tc>
          <w:tcPr>
            <w:vMerge w:val="continue"/>
          </w:tcPr>
          <w:p/>
        </w:tc>
        <w:tc>
          <w:tcPr>
            <w:tcW w:w="2268" w:type="dxa"/>
          </w:tcPr>
          <w:p>
            <w:pPr>
              <w:pStyle w:val="0"/>
            </w:pPr>
            <w:r>
              <w:rPr>
                <w:sz w:val="20"/>
              </w:rPr>
              <w:t xml:space="preserve">Налог на имущество организаций</w:t>
            </w:r>
          </w:p>
        </w:tc>
        <w:tc>
          <w:tcPr>
            <w:tcW w:w="391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tc>
      </w:tr>
      <w:tr>
        <w:tc>
          <w:tcPr>
            <w:tcW w:w="567" w:type="dxa"/>
            <w:vMerge w:val="restart"/>
          </w:tcPr>
          <w:p>
            <w:pPr>
              <w:pStyle w:val="0"/>
              <w:jc w:val="center"/>
            </w:pPr>
            <w:r>
              <w:rPr>
                <w:sz w:val="20"/>
              </w:rPr>
              <w:t xml:space="preserve">2.</w:t>
            </w:r>
          </w:p>
        </w:tc>
        <w:tc>
          <w:tcPr>
            <w:tcW w:w="2268" w:type="dxa"/>
            <w:vMerge w:val="restart"/>
          </w:tcPr>
          <w:p>
            <w:pPr>
              <w:pStyle w:val="0"/>
            </w:pPr>
            <w:r>
              <w:rPr>
                <w:sz w:val="20"/>
              </w:rPr>
              <w:t xml:space="preserve">Департамент предпринимательства Владимирской области</w:t>
            </w:r>
          </w:p>
        </w:tc>
        <w:tc>
          <w:tcPr>
            <w:tcW w:w="2268" w:type="dxa"/>
          </w:tcPr>
          <w:p>
            <w:pPr>
              <w:pStyle w:val="0"/>
            </w:pPr>
            <w:r>
              <w:rPr>
                <w:sz w:val="20"/>
              </w:rPr>
              <w:t xml:space="preserve">Упрощенная система налогообложения</w:t>
            </w:r>
          </w:p>
        </w:tc>
        <w:tc>
          <w:tcPr>
            <w:tcW w:w="3912" w:type="dxa"/>
          </w:tcPr>
          <w:p>
            <w:pPr>
              <w:pStyle w:val="0"/>
            </w:pPr>
            <w:r>
              <w:rPr>
                <w:sz w:val="20"/>
              </w:rPr>
              <w:t xml:space="preserve">- индивидуальные предприниматели, впервые зарегистрированные и осуществляющие предпринимательскую деятельность в производственной, социальной и (или) научной сферах, а также в сфере бытовых услуг населению;</w:t>
            </w:r>
          </w:p>
          <w:p>
            <w:pPr>
              <w:pStyle w:val="0"/>
            </w:pPr>
            <w:r>
              <w:rPr>
                <w:sz w:val="20"/>
              </w:rPr>
              <w:t xml:space="preserve">- организации и индивидуальные предприниматели, которые применяют дифференцированные налоговые ставки по упрощенной системе налогообложения;</w:t>
            </w:r>
          </w:p>
          <w:p>
            <w:pPr>
              <w:pStyle w:val="0"/>
            </w:pPr>
            <w:r>
              <w:rPr>
                <w:sz w:val="20"/>
              </w:rPr>
              <w:t xml:space="preserve">- организации и предприниматели, применявшие в 2020 году систему налогообложения в виде единого налога на вмененный доход</w:t>
            </w:r>
          </w:p>
        </w:tc>
      </w:tr>
      <w:tr>
        <w:tc>
          <w:tcPr>
            <w:vMerge w:val="continue"/>
          </w:tcPr>
          <w:p/>
        </w:tc>
        <w:tc>
          <w:tcPr>
            <w:vMerge w:val="continue"/>
          </w:tcPr>
          <w:p/>
        </w:tc>
        <w:tc>
          <w:tcPr>
            <w:tcW w:w="2268" w:type="dxa"/>
          </w:tcPr>
          <w:p>
            <w:pPr>
              <w:pStyle w:val="0"/>
            </w:pPr>
            <w:r>
              <w:rPr>
                <w:sz w:val="20"/>
              </w:rPr>
              <w:t xml:space="preserve">Патентная система налогообложения</w:t>
            </w:r>
          </w:p>
        </w:tc>
        <w:tc>
          <w:tcPr>
            <w:tcW w:w="3912" w:type="dxa"/>
          </w:tcPr>
          <w:p>
            <w:pPr>
              <w:pStyle w:val="0"/>
            </w:pPr>
            <w:r>
              <w:rPr>
                <w:sz w:val="20"/>
              </w:rPr>
              <w:t xml:space="preserve">- индивидуальные предприниматели, впервые зарегистрированные и осуществляющие предпринимательскую деятельность в производственной, социальной и (или) научной сферах, а также в сфере бытовых услуг населению</w:t>
            </w:r>
          </w:p>
        </w:tc>
      </w:tr>
      <w:tr>
        <w:tc>
          <w:tcPr>
            <w:vMerge w:val="continue"/>
          </w:tcPr>
          <w:p/>
        </w:tc>
        <w:tc>
          <w:tcPr>
            <w:vMerge w:val="continue"/>
          </w:tcPr>
          <w:p/>
        </w:tc>
        <w:tc>
          <w:tcPr>
            <w:tcW w:w="2268" w:type="dxa"/>
          </w:tcPr>
          <w:p>
            <w:pPr>
              <w:pStyle w:val="0"/>
            </w:pPr>
            <w:r>
              <w:rPr>
                <w:sz w:val="20"/>
              </w:rPr>
              <w:t xml:space="preserve">Налог на имущество организаций</w:t>
            </w:r>
          </w:p>
        </w:tc>
        <w:tc>
          <w:tcPr>
            <w:tcW w:w="3912" w:type="dxa"/>
          </w:tcPr>
          <w:p>
            <w:pPr>
              <w:pStyle w:val="0"/>
            </w:pPr>
            <w:r>
              <w:rPr>
                <w:sz w:val="20"/>
              </w:rPr>
              <w:t xml:space="preserve">- организации - собственники объектов недвижимого имущества, в отношении которых налоговая база определяется как кадастровая стоимость</w:t>
            </w:r>
          </w:p>
        </w:tc>
      </w:tr>
      <w:tr>
        <w:tc>
          <w:tcPr>
            <w:tcW w:w="567" w:type="dxa"/>
            <w:vMerge w:val="restart"/>
          </w:tcPr>
          <w:p>
            <w:pPr>
              <w:pStyle w:val="0"/>
              <w:jc w:val="center"/>
            </w:pPr>
            <w:r>
              <w:rPr>
                <w:sz w:val="20"/>
              </w:rPr>
              <w:t xml:space="preserve">3.</w:t>
            </w:r>
          </w:p>
        </w:tc>
        <w:tc>
          <w:tcPr>
            <w:tcW w:w="2268" w:type="dxa"/>
            <w:vMerge w:val="restart"/>
          </w:tcPr>
          <w:p>
            <w:pPr>
              <w:pStyle w:val="0"/>
            </w:pPr>
            <w:r>
              <w:rPr>
                <w:sz w:val="20"/>
              </w:rPr>
              <w:t xml:space="preserve">Департамент транспорта и дорожного хозяйства Владимирской области</w:t>
            </w:r>
          </w:p>
        </w:tc>
        <w:tc>
          <w:tcPr>
            <w:tcW w:w="2268" w:type="dxa"/>
          </w:tcPr>
          <w:p>
            <w:pPr>
              <w:pStyle w:val="0"/>
            </w:pPr>
            <w:r>
              <w:rPr>
                <w:sz w:val="20"/>
              </w:rPr>
              <w:t xml:space="preserve">Налог на имущество организаций</w:t>
            </w:r>
          </w:p>
        </w:tc>
        <w:tc>
          <w:tcPr>
            <w:tcW w:w="3912" w:type="dxa"/>
          </w:tcPr>
          <w:p>
            <w:pPr>
              <w:pStyle w:val="0"/>
            </w:pPr>
            <w:r>
              <w:rPr>
                <w:sz w:val="20"/>
              </w:rPr>
              <w:t xml:space="preserve">- организации - балансодержатели автомобильных дорог общего пользования регионального или межмуниципального и местного значения;</w:t>
            </w:r>
          </w:p>
          <w:p>
            <w:pPr>
              <w:pStyle w:val="0"/>
            </w:pPr>
            <w:r>
              <w:rPr>
                <w:sz w:val="20"/>
              </w:rPr>
              <w:t xml:space="preserve">- организаций - балансодержатели в отношении железнодорожных путей общего пользования и сооружений, являющихся их неотъемлемой технологической частью</w:t>
            </w:r>
          </w:p>
        </w:tc>
      </w:tr>
      <w:tr>
        <w:tc>
          <w:tcPr>
            <w:vMerge w:val="continue"/>
          </w:tcPr>
          <w:p/>
        </w:tc>
        <w:tc>
          <w:tcPr>
            <w:vMerge w:val="continue"/>
          </w:tcPr>
          <w:p/>
        </w:tc>
        <w:tc>
          <w:tcPr>
            <w:tcW w:w="2268" w:type="dxa"/>
          </w:tcPr>
          <w:p>
            <w:pPr>
              <w:pStyle w:val="0"/>
            </w:pPr>
            <w:r>
              <w:rPr>
                <w:sz w:val="20"/>
              </w:rPr>
              <w:t xml:space="preserve">Транспортный налог</w:t>
            </w:r>
          </w:p>
        </w:tc>
        <w:tc>
          <w:tcPr>
            <w:tcW w:w="3912" w:type="dxa"/>
          </w:tcPr>
          <w:p>
            <w:pPr>
              <w:pStyle w:val="0"/>
            </w:pPr>
            <w:r>
              <w:rPr>
                <w:sz w:val="20"/>
              </w:rPr>
              <w:t xml:space="preserve">- налогоплательщики в отношении транспортных средств, оборудованных для использования природного газа в качестве моторного топлива;</w:t>
            </w:r>
          </w:p>
          <w:p>
            <w:pPr>
              <w:pStyle w:val="0"/>
            </w:pPr>
            <w:r>
              <w:rPr>
                <w:sz w:val="20"/>
              </w:rPr>
              <w:t xml:space="preserve">- сельскохозяйственные товаропроизводители (в отношении грузовых автомобилей, автобусов);</w:t>
            </w:r>
          </w:p>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легковых автомобилей с мощностью двигателя не более 150 л. с. (110,33 кВт), мотоциклов и мотороллеров с мощностью двигателя не более 50 л. с. (36,78 кВт);</w:t>
            </w:r>
          </w:p>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грузовых автомобилей с мощностью двигателя не более 75 л. с. (55,16 кВт), зарегистрированных до 01.01.2003;</w:t>
            </w:r>
          </w:p>
          <w:p>
            <w:pPr>
              <w:pStyle w:val="0"/>
            </w:pPr>
            <w:r>
              <w:rPr>
                <w:sz w:val="20"/>
              </w:rPr>
              <w:t xml:space="preserve">- один из родителей (усыновитель, опекун, попечитель) в семье, относящейся к многодетной в соответствии с </w:t>
            </w:r>
            <w:hyperlink w:history="0" r:id="rId41" w:tooltip="Закон Владимирской области от 02.10.2007 N 120-ОЗ (ред. от 26.12.2022) &quot;О социальной поддержке и социальном обслуживании отдельных категорий граждан во Владимирской области&quot; (принят постановлением ЗС Владимирской области от 26.09.2007 N 524) (с изм. и доп., вступившими в силу с 01.01.2023) {КонсультантПлюс}">
              <w:r>
                <w:rPr>
                  <w:sz w:val="20"/>
                  <w:color w:val="0000ff"/>
                </w:rPr>
                <w:t xml:space="preserve">Законом</w:t>
              </w:r>
            </w:hyperlink>
            <w:r>
              <w:rPr>
                <w:sz w:val="20"/>
              </w:rPr>
              <w:t xml:space="preserve"> Владимирской области от 02 октября 2007 года N 120-ОЗ "О социальной поддержке и социальном обслуживании отдельных категорий граждан во Владимирской области", в отношении легкового автомобиля с мощностью двигателя не более 250 л. с. (183,9 кВт) или автобуса с мощностью двигателя не более 200 л. с. (147,1 кВт);</w:t>
            </w:r>
          </w:p>
          <w:p>
            <w:pPr>
              <w:pStyle w:val="0"/>
            </w:pPr>
            <w:r>
              <w:rPr>
                <w:sz w:val="20"/>
              </w:rPr>
              <w:t xml:space="preserve">- Герои Советского Союза, Герои Российской Федерации, граждане, награжденные орденом Славы трех степеней, на одно транспортное средство с мощностью двигателя не более 150 л. с. (110,33 кВт);</w:t>
            </w:r>
          </w:p>
          <w:p>
            <w:pPr>
              <w:pStyle w:val="0"/>
            </w:pPr>
            <w:r>
              <w:rPr>
                <w:sz w:val="20"/>
              </w:rPr>
              <w:t xml:space="preserve">- граждане, подвергшиеся воздействию радиации вследствие катастрофы на Чернобыльской АЭС, и приравненные к ним граждане из подразделений особого риска на одно транспортное средство с мощностью двигателя не более 150 л. с. (110,33 кВт);</w:t>
            </w:r>
          </w:p>
          <w:p>
            <w:pPr>
              <w:pStyle w:val="0"/>
            </w:pPr>
            <w:r>
              <w:rPr>
                <w:sz w:val="20"/>
              </w:rPr>
              <w:t xml:space="preserve">- участники Великой Отечественной войны на одно транспортное средство с мощностью двигателя не более 150 л. с. (110,33 кВт);</w:t>
            </w:r>
          </w:p>
          <w:p>
            <w:pPr>
              <w:pStyle w:val="0"/>
            </w:pPr>
            <w:r>
              <w:rPr>
                <w:sz w:val="20"/>
              </w:rPr>
              <w:t xml:space="preserve">- инвалиды Великой Отечественной войны и инвалиды боевых действий на одно транспортное средство с мощностью двигателя не более 150 л. с. (110,33 кВт);</w:t>
            </w:r>
          </w:p>
          <w:p>
            <w:pPr>
              <w:pStyle w:val="0"/>
            </w:pPr>
            <w:r>
              <w:rPr>
                <w:sz w:val="20"/>
              </w:rPr>
              <w:t xml:space="preserve">- военнослужащие и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ставшие инвалидами вследствие ранения, контузии или увечья, полученные при исполнении обязанностей военной службы (служебных обязанностей), на одно транспортное средство с мощностью двигателя не более 150 л. с. (110,33 кВт);</w:t>
            </w:r>
          </w:p>
          <w:p>
            <w:pPr>
              <w:pStyle w:val="0"/>
            </w:pPr>
            <w:r>
              <w:rPr>
                <w:sz w:val="20"/>
              </w:rPr>
              <w:t xml:space="preserve">-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на одно транспортное средство с мощностью двигателя не более 150 л. с. (110,33 кВт);</w:t>
            </w:r>
          </w:p>
          <w:p>
            <w:pPr>
              <w:pStyle w:val="0"/>
            </w:pPr>
            <w:r>
              <w:rPr>
                <w:sz w:val="20"/>
              </w:rPr>
              <w:t xml:space="preserve">- один из родителей (усыновителей, опекунов, попечителей) ребенка-инвалида, проживающий совместно с ребенком-инвалидом, на один легковой автомобиль с мощностью двигателя не более 150 л. с. (110,33 кВт);</w:t>
            </w:r>
          </w:p>
          <w:p>
            <w:pPr>
              <w:pStyle w:val="0"/>
            </w:pPr>
            <w:r>
              <w:rPr>
                <w:sz w:val="20"/>
              </w:rPr>
              <w:t xml:space="preserve">- ветераны боевых действий на один легковой автомобиль с мощностью двигателя не более 110 л. с. (80,91 кВт);</w:t>
            </w:r>
          </w:p>
          <w:p>
            <w:pPr>
              <w:pStyle w:val="0"/>
            </w:pPr>
            <w:r>
              <w:rPr>
                <w:sz w:val="20"/>
              </w:rPr>
              <w:t xml:space="preserve">- организации, являющиеся резидентами особых экономических зон промышленно-производственного типа, созданных на территории Владимирской области;</w:t>
            </w:r>
          </w:p>
          <w:p>
            <w:pPr>
              <w:pStyle w:val="0"/>
            </w:pPr>
            <w:r>
              <w:rPr>
                <w:sz w:val="20"/>
              </w:rPr>
              <w:t xml:space="preserve">- организации (за налоговый период 2020 года) и индивидуальные предприниматели (за налоговый период 2019 года), осуществляющие пассажирские перевозки</w:t>
            </w:r>
          </w:p>
        </w:tc>
      </w:tr>
      <w:tr>
        <w:tc>
          <w:tcPr>
            <w:tcW w:w="567" w:type="dxa"/>
          </w:tcPr>
          <w:p>
            <w:pPr>
              <w:pStyle w:val="0"/>
              <w:jc w:val="center"/>
            </w:pPr>
            <w:r>
              <w:rPr>
                <w:sz w:val="20"/>
              </w:rPr>
              <w:t xml:space="preserve">4.</w:t>
            </w:r>
          </w:p>
        </w:tc>
        <w:tc>
          <w:tcPr>
            <w:tcW w:w="2268" w:type="dxa"/>
          </w:tcPr>
          <w:p>
            <w:pPr>
              <w:pStyle w:val="0"/>
            </w:pPr>
            <w:r>
              <w:rPr>
                <w:sz w:val="20"/>
              </w:rPr>
              <w:t xml:space="preserve">Департамент цифрового развития Владимирской области</w:t>
            </w:r>
          </w:p>
        </w:tc>
        <w:tc>
          <w:tcPr>
            <w:tcW w:w="2268" w:type="dxa"/>
          </w:tcPr>
          <w:p>
            <w:pPr>
              <w:pStyle w:val="0"/>
            </w:pPr>
            <w:r>
              <w:rPr>
                <w:sz w:val="20"/>
              </w:rPr>
              <w:t xml:space="preserve">Налог на имущество организаций</w:t>
            </w:r>
          </w:p>
        </w:tc>
        <w:tc>
          <w:tcPr>
            <w:tcW w:w="3912" w:type="dxa"/>
          </w:tcPr>
          <w:p>
            <w:pPr>
              <w:pStyle w:val="0"/>
            </w:pPr>
            <w:r>
              <w:rPr>
                <w:sz w:val="20"/>
              </w:rPr>
              <w:t xml:space="preserve">- отделения почтовой связи, находящиеся в сельской местности</w:t>
            </w:r>
          </w:p>
        </w:tc>
      </w:tr>
    </w:tbl>
    <w:p>
      <w:pPr>
        <w:pStyle w:val="0"/>
        <w:jc w:val="both"/>
      </w:pPr>
      <w:r>
        <w:rPr>
          <w:sz w:val="20"/>
        </w:rPr>
      </w:r>
    </w:p>
    <w:p>
      <w:pPr>
        <w:pStyle w:val="0"/>
        <w:ind w:firstLine="540"/>
        <w:jc w:val="both"/>
      </w:pPr>
      <w:r>
        <w:rPr>
          <w:sz w:val="20"/>
        </w:rPr>
        <w:t xml:space="preserve">Налоговые расходы за 2021 год признаны эффективными.</w:t>
      </w:r>
    </w:p>
    <w:p>
      <w:pPr>
        <w:pStyle w:val="0"/>
        <w:jc w:val="both"/>
      </w:pPr>
      <w:r>
        <w:rPr>
          <w:sz w:val="20"/>
        </w:rPr>
      </w:r>
    </w:p>
    <w:p>
      <w:pPr>
        <w:pStyle w:val="2"/>
        <w:outlineLvl w:val="1"/>
        <w:jc w:val="center"/>
      </w:pPr>
      <w:r>
        <w:rPr>
          <w:sz w:val="20"/>
        </w:rPr>
        <w:t xml:space="preserve">IV. Основные параметры налоговых и неналоговых доходов</w:t>
      </w:r>
    </w:p>
    <w:p>
      <w:pPr>
        <w:pStyle w:val="2"/>
        <w:jc w:val="center"/>
      </w:pPr>
      <w:r>
        <w:rPr>
          <w:sz w:val="20"/>
        </w:rPr>
        <w:t xml:space="preserve">консолидированного бюджета области и областного бюджета</w:t>
      </w:r>
    </w:p>
    <w:p>
      <w:pPr>
        <w:pStyle w:val="2"/>
        <w:jc w:val="center"/>
      </w:pPr>
      <w:r>
        <w:rPr>
          <w:sz w:val="20"/>
        </w:rPr>
        <w:t xml:space="preserve">на 2023 год и на плановый период 2024 и 2025 годов</w:t>
      </w:r>
    </w:p>
    <w:p>
      <w:pPr>
        <w:pStyle w:val="0"/>
        <w:jc w:val="both"/>
      </w:pPr>
      <w:r>
        <w:rPr>
          <w:sz w:val="20"/>
        </w:rPr>
      </w:r>
    </w:p>
    <w:p>
      <w:pPr>
        <w:pStyle w:val="0"/>
        <w:ind w:firstLine="540"/>
        <w:jc w:val="both"/>
      </w:pPr>
      <w:r>
        <w:rPr>
          <w:sz w:val="20"/>
        </w:rPr>
        <w:t xml:space="preserve">Основные направления налоговой политики Владимирской области определяют параметры налоговых и неналоговых доходов областного бюджета на 2023 - 2025 годы (таблица 4).</w:t>
      </w:r>
    </w:p>
    <w:p>
      <w:pPr>
        <w:pStyle w:val="0"/>
        <w:jc w:val="both"/>
      </w:pPr>
      <w:r>
        <w:rPr>
          <w:sz w:val="20"/>
        </w:rPr>
      </w:r>
    </w:p>
    <w:p>
      <w:pPr>
        <w:pStyle w:val="0"/>
        <w:outlineLvl w:val="2"/>
        <w:jc w:val="right"/>
      </w:pPr>
      <w:r>
        <w:rPr>
          <w:sz w:val="20"/>
        </w:rPr>
        <w:t xml:space="preserve">Таблица 4</w:t>
      </w:r>
    </w:p>
    <w:p>
      <w:pPr>
        <w:pStyle w:val="0"/>
        <w:jc w:val="both"/>
      </w:pPr>
      <w:r>
        <w:rPr>
          <w:sz w:val="20"/>
        </w:rPr>
      </w:r>
    </w:p>
    <w:p>
      <w:pPr>
        <w:pStyle w:val="2"/>
        <w:jc w:val="center"/>
      </w:pPr>
      <w:r>
        <w:rPr>
          <w:sz w:val="20"/>
        </w:rPr>
        <w:t xml:space="preserve">Прогноз</w:t>
      </w:r>
    </w:p>
    <w:p>
      <w:pPr>
        <w:pStyle w:val="2"/>
        <w:jc w:val="center"/>
      </w:pPr>
      <w:r>
        <w:rPr>
          <w:sz w:val="20"/>
        </w:rPr>
        <w:t xml:space="preserve">поступления налоговых и неналоговых доходов</w:t>
      </w:r>
    </w:p>
    <w:p>
      <w:pPr>
        <w:pStyle w:val="2"/>
        <w:jc w:val="center"/>
      </w:pPr>
      <w:r>
        <w:rPr>
          <w:sz w:val="20"/>
        </w:rPr>
        <w:t xml:space="preserve">областного бюджета на 2023 - 2025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076"/>
        <w:gridCol w:w="1076"/>
        <w:gridCol w:w="1076"/>
        <w:gridCol w:w="1076"/>
        <w:gridCol w:w="1076"/>
        <w:gridCol w:w="1076"/>
        <w:gridCol w:w="1081"/>
      </w:tblGrid>
      <w:tr>
        <w:tc>
          <w:tcPr>
            <w:tcW w:w="1531" w:type="dxa"/>
          </w:tcPr>
          <w:p>
            <w:pPr>
              <w:pStyle w:val="0"/>
              <w:jc w:val="center"/>
            </w:pPr>
            <w:r>
              <w:rPr>
                <w:sz w:val="20"/>
              </w:rPr>
              <w:t xml:space="preserve">Показатели</w:t>
            </w:r>
          </w:p>
        </w:tc>
        <w:tc>
          <w:tcPr>
            <w:tcW w:w="1076" w:type="dxa"/>
          </w:tcPr>
          <w:p>
            <w:pPr>
              <w:pStyle w:val="0"/>
              <w:jc w:val="center"/>
            </w:pPr>
            <w:r>
              <w:rPr>
                <w:sz w:val="20"/>
              </w:rPr>
              <w:t xml:space="preserve">Утвержденный законом области план на 2023 год</w:t>
            </w:r>
          </w:p>
        </w:tc>
        <w:tc>
          <w:tcPr>
            <w:tcW w:w="1076" w:type="dxa"/>
          </w:tcPr>
          <w:p>
            <w:pPr>
              <w:pStyle w:val="0"/>
              <w:jc w:val="center"/>
            </w:pPr>
            <w:r>
              <w:rPr>
                <w:sz w:val="20"/>
              </w:rPr>
              <w:t xml:space="preserve">Уточненный прогноз на 2023 год</w:t>
            </w:r>
          </w:p>
        </w:tc>
        <w:tc>
          <w:tcPr>
            <w:tcW w:w="1076" w:type="dxa"/>
          </w:tcPr>
          <w:p>
            <w:pPr>
              <w:pStyle w:val="0"/>
              <w:jc w:val="center"/>
            </w:pPr>
            <w:r>
              <w:rPr>
                <w:sz w:val="20"/>
              </w:rPr>
              <w:t xml:space="preserve">Отклонение уточненного прогноза от утвержденного законом плана</w:t>
            </w:r>
          </w:p>
        </w:tc>
        <w:tc>
          <w:tcPr>
            <w:tcW w:w="1076" w:type="dxa"/>
          </w:tcPr>
          <w:p>
            <w:pPr>
              <w:pStyle w:val="0"/>
              <w:jc w:val="center"/>
            </w:pPr>
            <w:r>
              <w:rPr>
                <w:sz w:val="20"/>
              </w:rPr>
              <w:t xml:space="preserve">Утвержденный законом области план на 2024 год</w:t>
            </w:r>
          </w:p>
        </w:tc>
        <w:tc>
          <w:tcPr>
            <w:tcW w:w="1076" w:type="dxa"/>
          </w:tcPr>
          <w:p>
            <w:pPr>
              <w:pStyle w:val="0"/>
              <w:jc w:val="center"/>
            </w:pPr>
            <w:r>
              <w:rPr>
                <w:sz w:val="20"/>
              </w:rPr>
              <w:t xml:space="preserve">Уточненный прогноз на 2024 год</w:t>
            </w:r>
          </w:p>
        </w:tc>
        <w:tc>
          <w:tcPr>
            <w:tcW w:w="1076" w:type="dxa"/>
          </w:tcPr>
          <w:p>
            <w:pPr>
              <w:pStyle w:val="0"/>
              <w:jc w:val="center"/>
            </w:pPr>
            <w:r>
              <w:rPr>
                <w:sz w:val="20"/>
              </w:rPr>
              <w:t xml:space="preserve">Отклонение уточненного прогноза от утвержденного законом плана</w:t>
            </w:r>
          </w:p>
        </w:tc>
        <w:tc>
          <w:tcPr>
            <w:tcW w:w="1081" w:type="dxa"/>
          </w:tcPr>
          <w:p>
            <w:pPr>
              <w:pStyle w:val="0"/>
              <w:jc w:val="center"/>
            </w:pPr>
            <w:r>
              <w:rPr>
                <w:sz w:val="20"/>
              </w:rPr>
              <w:t xml:space="preserve">2025 год (прогноз)</w:t>
            </w:r>
          </w:p>
        </w:tc>
      </w:tr>
      <w:tr>
        <w:tc>
          <w:tcPr>
            <w:tcW w:w="1531" w:type="dxa"/>
          </w:tcPr>
          <w:p>
            <w:pPr>
              <w:pStyle w:val="0"/>
              <w:jc w:val="center"/>
            </w:pPr>
            <w:r>
              <w:rPr>
                <w:sz w:val="20"/>
              </w:rPr>
              <w:t xml:space="preserve">1</w:t>
            </w:r>
          </w:p>
        </w:tc>
        <w:tc>
          <w:tcPr>
            <w:tcW w:w="1076" w:type="dxa"/>
          </w:tcPr>
          <w:p>
            <w:pPr>
              <w:pStyle w:val="0"/>
              <w:jc w:val="center"/>
            </w:pPr>
            <w:r>
              <w:rPr>
                <w:sz w:val="20"/>
              </w:rPr>
              <w:t xml:space="preserve">2</w:t>
            </w:r>
          </w:p>
        </w:tc>
        <w:tc>
          <w:tcPr>
            <w:tcW w:w="1076" w:type="dxa"/>
          </w:tcPr>
          <w:p>
            <w:pPr>
              <w:pStyle w:val="0"/>
              <w:jc w:val="center"/>
            </w:pPr>
            <w:r>
              <w:rPr>
                <w:sz w:val="20"/>
              </w:rPr>
              <w:t xml:space="preserve">3</w:t>
            </w:r>
          </w:p>
        </w:tc>
        <w:tc>
          <w:tcPr>
            <w:tcW w:w="1076" w:type="dxa"/>
          </w:tcPr>
          <w:p>
            <w:pPr>
              <w:pStyle w:val="0"/>
              <w:jc w:val="center"/>
            </w:pPr>
            <w:r>
              <w:rPr>
                <w:sz w:val="20"/>
              </w:rPr>
              <w:t xml:space="preserve">4</w:t>
            </w:r>
          </w:p>
        </w:tc>
        <w:tc>
          <w:tcPr>
            <w:tcW w:w="1076" w:type="dxa"/>
          </w:tcPr>
          <w:p>
            <w:pPr>
              <w:pStyle w:val="0"/>
              <w:jc w:val="center"/>
            </w:pPr>
            <w:r>
              <w:rPr>
                <w:sz w:val="20"/>
              </w:rPr>
              <w:t xml:space="preserve">5</w:t>
            </w:r>
          </w:p>
        </w:tc>
        <w:tc>
          <w:tcPr>
            <w:tcW w:w="1076" w:type="dxa"/>
          </w:tcPr>
          <w:p>
            <w:pPr>
              <w:pStyle w:val="0"/>
              <w:jc w:val="center"/>
            </w:pPr>
            <w:r>
              <w:rPr>
                <w:sz w:val="20"/>
              </w:rPr>
              <w:t xml:space="preserve">6</w:t>
            </w:r>
          </w:p>
        </w:tc>
        <w:tc>
          <w:tcPr>
            <w:tcW w:w="1076" w:type="dxa"/>
          </w:tcPr>
          <w:p>
            <w:pPr>
              <w:pStyle w:val="0"/>
              <w:jc w:val="center"/>
            </w:pPr>
            <w:r>
              <w:rPr>
                <w:sz w:val="20"/>
              </w:rPr>
              <w:t xml:space="preserve">7</w:t>
            </w:r>
          </w:p>
        </w:tc>
        <w:tc>
          <w:tcPr>
            <w:tcW w:w="1081" w:type="dxa"/>
          </w:tcPr>
          <w:p>
            <w:pPr>
              <w:pStyle w:val="0"/>
              <w:jc w:val="center"/>
            </w:pPr>
            <w:r>
              <w:rPr>
                <w:sz w:val="20"/>
              </w:rPr>
              <w:t xml:space="preserve">8</w:t>
            </w:r>
          </w:p>
        </w:tc>
      </w:tr>
      <w:tr>
        <w:tc>
          <w:tcPr>
            <w:tcW w:w="1531" w:type="dxa"/>
          </w:tcPr>
          <w:p>
            <w:pPr>
              <w:pStyle w:val="0"/>
            </w:pPr>
            <w:r>
              <w:rPr>
                <w:sz w:val="20"/>
              </w:rPr>
              <w:t xml:space="preserve">1. Налоговые и неналоговые доходы, млн. руб.</w:t>
            </w:r>
          </w:p>
        </w:tc>
        <w:tc>
          <w:tcPr>
            <w:tcW w:w="1076" w:type="dxa"/>
          </w:tcPr>
          <w:p>
            <w:pPr>
              <w:pStyle w:val="0"/>
              <w:jc w:val="center"/>
            </w:pPr>
            <w:r>
              <w:rPr>
                <w:sz w:val="20"/>
              </w:rPr>
              <w:t xml:space="preserve">59435,0</w:t>
            </w:r>
          </w:p>
        </w:tc>
        <w:tc>
          <w:tcPr>
            <w:tcW w:w="1076" w:type="dxa"/>
          </w:tcPr>
          <w:p>
            <w:pPr>
              <w:pStyle w:val="0"/>
              <w:jc w:val="center"/>
            </w:pPr>
            <w:r>
              <w:rPr>
                <w:sz w:val="20"/>
              </w:rPr>
              <w:t xml:space="preserve">59607,7</w:t>
            </w:r>
          </w:p>
        </w:tc>
        <w:tc>
          <w:tcPr>
            <w:tcW w:w="1076" w:type="dxa"/>
          </w:tcPr>
          <w:p>
            <w:pPr>
              <w:pStyle w:val="0"/>
              <w:jc w:val="center"/>
            </w:pPr>
            <w:r>
              <w:rPr>
                <w:sz w:val="20"/>
              </w:rPr>
              <w:t xml:space="preserve">+172,7</w:t>
            </w:r>
          </w:p>
        </w:tc>
        <w:tc>
          <w:tcPr>
            <w:tcW w:w="1076" w:type="dxa"/>
          </w:tcPr>
          <w:p>
            <w:pPr>
              <w:pStyle w:val="0"/>
              <w:jc w:val="center"/>
            </w:pPr>
            <w:r>
              <w:rPr>
                <w:sz w:val="20"/>
              </w:rPr>
              <w:t xml:space="preserve">62452,9</w:t>
            </w:r>
          </w:p>
        </w:tc>
        <w:tc>
          <w:tcPr>
            <w:tcW w:w="1076" w:type="dxa"/>
          </w:tcPr>
          <w:p>
            <w:pPr>
              <w:pStyle w:val="0"/>
              <w:jc w:val="center"/>
            </w:pPr>
            <w:r>
              <w:rPr>
                <w:sz w:val="20"/>
              </w:rPr>
              <w:t xml:space="preserve">62645,1</w:t>
            </w:r>
          </w:p>
        </w:tc>
        <w:tc>
          <w:tcPr>
            <w:tcW w:w="1076" w:type="dxa"/>
          </w:tcPr>
          <w:p>
            <w:pPr>
              <w:pStyle w:val="0"/>
              <w:jc w:val="center"/>
            </w:pPr>
            <w:r>
              <w:rPr>
                <w:sz w:val="20"/>
              </w:rPr>
              <w:t xml:space="preserve">+192,2</w:t>
            </w:r>
          </w:p>
        </w:tc>
        <w:tc>
          <w:tcPr>
            <w:tcW w:w="1081" w:type="dxa"/>
          </w:tcPr>
          <w:p>
            <w:pPr>
              <w:pStyle w:val="0"/>
              <w:jc w:val="center"/>
            </w:pPr>
            <w:r>
              <w:rPr>
                <w:sz w:val="20"/>
              </w:rPr>
              <w:t xml:space="preserve">65290,7</w:t>
            </w:r>
          </w:p>
        </w:tc>
      </w:tr>
      <w:tr>
        <w:tc>
          <w:tcPr>
            <w:tcW w:w="1531" w:type="dxa"/>
          </w:tcPr>
          <w:p>
            <w:pPr>
              <w:pStyle w:val="0"/>
            </w:pPr>
            <w:r>
              <w:rPr>
                <w:sz w:val="20"/>
              </w:rPr>
              <w:t xml:space="preserve">в том числе</w:t>
            </w:r>
          </w:p>
        </w:tc>
        <w:tc>
          <w:tcPr>
            <w:tcW w:w="1076" w:type="dxa"/>
          </w:tcPr>
          <w:p>
            <w:pPr>
              <w:pStyle w:val="0"/>
            </w:pPr>
            <w:r>
              <w:rPr>
                <w:sz w:val="20"/>
              </w:rPr>
            </w:r>
          </w:p>
        </w:tc>
        <w:tc>
          <w:tcPr>
            <w:tcW w:w="1076" w:type="dxa"/>
          </w:tcPr>
          <w:p>
            <w:pPr>
              <w:pStyle w:val="0"/>
            </w:pPr>
            <w:r>
              <w:rPr>
                <w:sz w:val="20"/>
              </w:rPr>
            </w:r>
          </w:p>
        </w:tc>
        <w:tc>
          <w:tcPr>
            <w:tcW w:w="1076" w:type="dxa"/>
          </w:tcPr>
          <w:p>
            <w:pPr>
              <w:pStyle w:val="0"/>
            </w:pPr>
            <w:r>
              <w:rPr>
                <w:sz w:val="20"/>
              </w:rPr>
            </w:r>
          </w:p>
        </w:tc>
        <w:tc>
          <w:tcPr>
            <w:tcW w:w="1076" w:type="dxa"/>
          </w:tcPr>
          <w:p>
            <w:pPr>
              <w:pStyle w:val="0"/>
            </w:pPr>
            <w:r>
              <w:rPr>
                <w:sz w:val="20"/>
              </w:rPr>
            </w:r>
          </w:p>
        </w:tc>
        <w:tc>
          <w:tcPr>
            <w:tcW w:w="1076" w:type="dxa"/>
          </w:tcPr>
          <w:p>
            <w:pPr>
              <w:pStyle w:val="0"/>
            </w:pPr>
            <w:r>
              <w:rPr>
                <w:sz w:val="20"/>
              </w:rPr>
            </w:r>
          </w:p>
        </w:tc>
        <w:tc>
          <w:tcPr>
            <w:tcW w:w="1076" w:type="dxa"/>
          </w:tcPr>
          <w:p>
            <w:pPr>
              <w:pStyle w:val="0"/>
            </w:pPr>
            <w:r>
              <w:rPr>
                <w:sz w:val="20"/>
              </w:rPr>
            </w:r>
          </w:p>
        </w:tc>
        <w:tc>
          <w:tcPr>
            <w:tcW w:w="1081" w:type="dxa"/>
          </w:tcPr>
          <w:p>
            <w:pPr>
              <w:pStyle w:val="0"/>
            </w:pPr>
            <w:r>
              <w:rPr>
                <w:sz w:val="20"/>
              </w:rPr>
            </w:r>
          </w:p>
        </w:tc>
      </w:tr>
      <w:tr>
        <w:tc>
          <w:tcPr>
            <w:tcW w:w="1531" w:type="dxa"/>
          </w:tcPr>
          <w:p>
            <w:pPr>
              <w:pStyle w:val="0"/>
            </w:pPr>
            <w:r>
              <w:rPr>
                <w:sz w:val="20"/>
              </w:rPr>
              <w:t xml:space="preserve">Налоговые доходы</w:t>
            </w:r>
          </w:p>
        </w:tc>
        <w:tc>
          <w:tcPr>
            <w:tcW w:w="1076" w:type="dxa"/>
          </w:tcPr>
          <w:p>
            <w:pPr>
              <w:pStyle w:val="0"/>
              <w:jc w:val="center"/>
            </w:pPr>
            <w:r>
              <w:rPr>
                <w:sz w:val="20"/>
              </w:rPr>
              <w:t xml:space="preserve">58661,1</w:t>
            </w:r>
          </w:p>
        </w:tc>
        <w:tc>
          <w:tcPr>
            <w:tcW w:w="1076" w:type="dxa"/>
          </w:tcPr>
          <w:p>
            <w:pPr>
              <w:pStyle w:val="0"/>
              <w:jc w:val="center"/>
            </w:pPr>
            <w:r>
              <w:rPr>
                <w:sz w:val="20"/>
              </w:rPr>
              <w:t xml:space="preserve">58694,6</w:t>
            </w:r>
          </w:p>
        </w:tc>
        <w:tc>
          <w:tcPr>
            <w:tcW w:w="1076" w:type="dxa"/>
          </w:tcPr>
          <w:p>
            <w:pPr>
              <w:pStyle w:val="0"/>
              <w:jc w:val="center"/>
            </w:pPr>
            <w:r>
              <w:rPr>
                <w:sz w:val="20"/>
              </w:rPr>
              <w:t xml:space="preserve">+33,5</w:t>
            </w:r>
          </w:p>
        </w:tc>
        <w:tc>
          <w:tcPr>
            <w:tcW w:w="1076" w:type="dxa"/>
          </w:tcPr>
          <w:p>
            <w:pPr>
              <w:pStyle w:val="0"/>
              <w:jc w:val="center"/>
            </w:pPr>
            <w:r>
              <w:rPr>
                <w:sz w:val="20"/>
              </w:rPr>
              <w:t xml:space="preserve">61677,4</w:t>
            </w:r>
          </w:p>
        </w:tc>
        <w:tc>
          <w:tcPr>
            <w:tcW w:w="1076" w:type="dxa"/>
          </w:tcPr>
          <w:p>
            <w:pPr>
              <w:pStyle w:val="0"/>
              <w:jc w:val="center"/>
            </w:pPr>
            <w:r>
              <w:rPr>
                <w:sz w:val="20"/>
              </w:rPr>
              <w:t xml:space="preserve">61726,5</w:t>
            </w:r>
          </w:p>
        </w:tc>
        <w:tc>
          <w:tcPr>
            <w:tcW w:w="1076" w:type="dxa"/>
          </w:tcPr>
          <w:p>
            <w:pPr>
              <w:pStyle w:val="0"/>
              <w:jc w:val="center"/>
            </w:pPr>
            <w:r>
              <w:rPr>
                <w:sz w:val="20"/>
              </w:rPr>
              <w:t xml:space="preserve">+49,1</w:t>
            </w:r>
          </w:p>
        </w:tc>
        <w:tc>
          <w:tcPr>
            <w:tcW w:w="1081" w:type="dxa"/>
          </w:tcPr>
          <w:p>
            <w:pPr>
              <w:pStyle w:val="0"/>
              <w:jc w:val="center"/>
            </w:pPr>
            <w:r>
              <w:rPr>
                <w:sz w:val="20"/>
              </w:rPr>
              <w:t xml:space="preserve">64329,0</w:t>
            </w:r>
          </w:p>
        </w:tc>
      </w:tr>
      <w:tr>
        <w:tc>
          <w:tcPr>
            <w:tcW w:w="1531" w:type="dxa"/>
          </w:tcPr>
          <w:p>
            <w:pPr>
              <w:pStyle w:val="0"/>
            </w:pPr>
            <w:r>
              <w:rPr>
                <w:sz w:val="20"/>
              </w:rPr>
              <w:t xml:space="preserve">Неналоговые доходы</w:t>
            </w:r>
          </w:p>
        </w:tc>
        <w:tc>
          <w:tcPr>
            <w:tcW w:w="1076" w:type="dxa"/>
          </w:tcPr>
          <w:p>
            <w:pPr>
              <w:pStyle w:val="0"/>
              <w:jc w:val="center"/>
            </w:pPr>
            <w:r>
              <w:rPr>
                <w:sz w:val="20"/>
              </w:rPr>
              <w:t xml:space="preserve">773,9</w:t>
            </w:r>
          </w:p>
        </w:tc>
        <w:tc>
          <w:tcPr>
            <w:tcW w:w="1076" w:type="dxa"/>
          </w:tcPr>
          <w:p>
            <w:pPr>
              <w:pStyle w:val="0"/>
              <w:jc w:val="center"/>
            </w:pPr>
            <w:r>
              <w:rPr>
                <w:sz w:val="20"/>
              </w:rPr>
              <w:t xml:space="preserve">913,1</w:t>
            </w:r>
          </w:p>
        </w:tc>
        <w:tc>
          <w:tcPr>
            <w:tcW w:w="1076" w:type="dxa"/>
          </w:tcPr>
          <w:p>
            <w:pPr>
              <w:pStyle w:val="0"/>
              <w:jc w:val="center"/>
            </w:pPr>
            <w:r>
              <w:rPr>
                <w:sz w:val="20"/>
              </w:rPr>
              <w:t xml:space="preserve">+139,2</w:t>
            </w:r>
          </w:p>
        </w:tc>
        <w:tc>
          <w:tcPr>
            <w:tcW w:w="1076" w:type="dxa"/>
          </w:tcPr>
          <w:p>
            <w:pPr>
              <w:pStyle w:val="0"/>
              <w:jc w:val="center"/>
            </w:pPr>
            <w:r>
              <w:rPr>
                <w:sz w:val="20"/>
              </w:rPr>
              <w:t xml:space="preserve">775,5</w:t>
            </w:r>
          </w:p>
        </w:tc>
        <w:tc>
          <w:tcPr>
            <w:tcW w:w="1076" w:type="dxa"/>
          </w:tcPr>
          <w:p>
            <w:pPr>
              <w:pStyle w:val="0"/>
              <w:jc w:val="center"/>
            </w:pPr>
            <w:r>
              <w:rPr>
                <w:sz w:val="20"/>
              </w:rPr>
              <w:t xml:space="preserve">918,6</w:t>
            </w:r>
          </w:p>
        </w:tc>
        <w:tc>
          <w:tcPr>
            <w:tcW w:w="1076" w:type="dxa"/>
          </w:tcPr>
          <w:p>
            <w:pPr>
              <w:pStyle w:val="0"/>
              <w:jc w:val="center"/>
            </w:pPr>
            <w:r>
              <w:rPr>
                <w:sz w:val="20"/>
              </w:rPr>
              <w:t xml:space="preserve">+143,1</w:t>
            </w:r>
          </w:p>
        </w:tc>
        <w:tc>
          <w:tcPr>
            <w:tcW w:w="1081" w:type="dxa"/>
          </w:tcPr>
          <w:p>
            <w:pPr>
              <w:pStyle w:val="0"/>
              <w:jc w:val="center"/>
            </w:pPr>
            <w:r>
              <w:rPr>
                <w:sz w:val="20"/>
              </w:rPr>
              <w:t xml:space="preserve">961,7</w:t>
            </w:r>
          </w:p>
        </w:tc>
      </w:tr>
      <w:tr>
        <w:tc>
          <w:tcPr>
            <w:tcW w:w="1531" w:type="dxa"/>
          </w:tcPr>
          <w:p>
            <w:pPr>
              <w:pStyle w:val="0"/>
            </w:pPr>
            <w:r>
              <w:rPr>
                <w:sz w:val="20"/>
              </w:rPr>
              <w:t xml:space="preserve">2. Доходы дорожного фонда, млн. руб.</w:t>
            </w:r>
          </w:p>
        </w:tc>
        <w:tc>
          <w:tcPr>
            <w:tcW w:w="1076" w:type="dxa"/>
          </w:tcPr>
          <w:p>
            <w:pPr>
              <w:pStyle w:val="0"/>
              <w:jc w:val="center"/>
            </w:pPr>
            <w:r>
              <w:rPr>
                <w:sz w:val="20"/>
              </w:rPr>
              <w:t xml:space="preserve">7236,1</w:t>
            </w:r>
          </w:p>
        </w:tc>
        <w:tc>
          <w:tcPr>
            <w:tcW w:w="1076" w:type="dxa"/>
          </w:tcPr>
          <w:p>
            <w:pPr>
              <w:pStyle w:val="0"/>
              <w:jc w:val="center"/>
            </w:pPr>
            <w:r>
              <w:rPr>
                <w:sz w:val="20"/>
              </w:rPr>
              <w:t xml:space="preserve">7336,0</w:t>
            </w:r>
          </w:p>
        </w:tc>
        <w:tc>
          <w:tcPr>
            <w:tcW w:w="1076" w:type="dxa"/>
          </w:tcPr>
          <w:p>
            <w:pPr>
              <w:pStyle w:val="0"/>
              <w:jc w:val="center"/>
            </w:pPr>
            <w:r>
              <w:rPr>
                <w:sz w:val="20"/>
              </w:rPr>
              <w:t xml:space="preserve">+99,9</w:t>
            </w:r>
          </w:p>
        </w:tc>
        <w:tc>
          <w:tcPr>
            <w:tcW w:w="1076" w:type="dxa"/>
          </w:tcPr>
          <w:p>
            <w:pPr>
              <w:pStyle w:val="0"/>
              <w:jc w:val="center"/>
            </w:pPr>
            <w:r>
              <w:rPr>
                <w:sz w:val="20"/>
              </w:rPr>
              <w:t xml:space="preserve">7479,1</w:t>
            </w:r>
          </w:p>
        </w:tc>
        <w:tc>
          <w:tcPr>
            <w:tcW w:w="1076" w:type="dxa"/>
          </w:tcPr>
          <w:p>
            <w:pPr>
              <w:pStyle w:val="0"/>
              <w:jc w:val="center"/>
            </w:pPr>
            <w:r>
              <w:rPr>
                <w:sz w:val="20"/>
              </w:rPr>
              <w:t xml:space="preserve">7579,4</w:t>
            </w:r>
          </w:p>
        </w:tc>
        <w:tc>
          <w:tcPr>
            <w:tcW w:w="1076" w:type="dxa"/>
          </w:tcPr>
          <w:p>
            <w:pPr>
              <w:pStyle w:val="0"/>
              <w:jc w:val="center"/>
            </w:pPr>
            <w:r>
              <w:rPr>
                <w:sz w:val="20"/>
              </w:rPr>
              <w:t xml:space="preserve">+100,3</w:t>
            </w:r>
          </w:p>
        </w:tc>
        <w:tc>
          <w:tcPr>
            <w:tcW w:w="1081" w:type="dxa"/>
          </w:tcPr>
          <w:p>
            <w:pPr>
              <w:pStyle w:val="0"/>
              <w:jc w:val="center"/>
            </w:pPr>
            <w:r>
              <w:rPr>
                <w:sz w:val="20"/>
              </w:rPr>
              <w:t xml:space="preserve">8328,7</w:t>
            </w:r>
          </w:p>
        </w:tc>
      </w:tr>
    </w:tbl>
    <w:p>
      <w:pPr>
        <w:pStyle w:val="0"/>
        <w:jc w:val="both"/>
      </w:pPr>
      <w:r>
        <w:rPr>
          <w:sz w:val="20"/>
        </w:rPr>
      </w:r>
    </w:p>
    <w:p>
      <w:pPr>
        <w:pStyle w:val="0"/>
        <w:ind w:firstLine="540"/>
        <w:jc w:val="both"/>
      </w:pPr>
      <w:r>
        <w:rPr>
          <w:sz w:val="20"/>
        </w:rPr>
        <w:t xml:space="preserve">Налоговые и неналоговые доходы областного бюджета на 2023 - 2025 годы сформированы на основании уточненных показателей прогноза социально-экономического развития области на очередной финансовый год и на плановый период, а также на основании данных главных администраторов доходов.</w:t>
      </w:r>
    </w:p>
    <w:p>
      <w:pPr>
        <w:pStyle w:val="0"/>
        <w:spacing w:before="200" w:line-rule="auto"/>
        <w:ind w:firstLine="540"/>
        <w:jc w:val="both"/>
      </w:pPr>
      <w:r>
        <w:rPr>
          <w:sz w:val="20"/>
        </w:rPr>
        <w:t xml:space="preserve">Структура налоговых платежей в прогнозируемом периоде изменится, поскольку в пятерку ведущих предприятий по объему налоговых поступлений в областной бюджет не вошли такие налогоплательщики, как АО "Генериум" и ПАО "Сбербанк".</w:t>
      </w:r>
    </w:p>
    <w:p>
      <w:pPr>
        <w:pStyle w:val="0"/>
        <w:spacing w:before="200" w:line-rule="auto"/>
        <w:ind w:firstLine="540"/>
        <w:jc w:val="both"/>
      </w:pPr>
      <w:r>
        <w:rPr>
          <w:sz w:val="20"/>
        </w:rPr>
        <w:t xml:space="preserve">В связи со стабилизацией эпидемиологической ситуации сократился государственный заказ на производство вакцины против COVID-19, поэтому поступления по налогу на прибыль от АО "Генериум" сократились в текущем году на 89,9%. На снижение налога на прибыль на 48,7% по ПАО "Сбербанк" повлияло введение экономических санкций против Российской Федерации со стороны недружественных государств.</w:t>
      </w:r>
    </w:p>
    <w:p>
      <w:pPr>
        <w:pStyle w:val="0"/>
        <w:spacing w:before="200" w:line-rule="auto"/>
        <w:ind w:firstLine="540"/>
        <w:jc w:val="both"/>
      </w:pPr>
      <w:r>
        <w:rPr>
          <w:sz w:val="20"/>
        </w:rPr>
        <w:t xml:space="preserve">Поступления налоговых и неналоговых доходов в 2023 году увеличатся по сравнению с параметрами, утвержденными </w:t>
      </w:r>
      <w:hyperlink w:history="0" r:id="rId42" w:tooltip="Закон Владимирской области от 23.12.2021 N 142-ОЗ (ред. от 15.09.2022) &quot;Об областном бюджете на 2022 год и на плановый период 2023 и 2024 годов&quot; (принят постановлением ЗС Владимирской области от 17.12.2021 N 401) {КонсультантПлюс}">
        <w:r>
          <w:rPr>
            <w:sz w:val="20"/>
            <w:color w:val="0000ff"/>
          </w:rPr>
          <w:t xml:space="preserve">Законом</w:t>
        </w:r>
      </w:hyperlink>
      <w:r>
        <w:rPr>
          <w:sz w:val="20"/>
        </w:rPr>
        <w:t xml:space="preserve"> области от 23 декабря 2021 года N 142-ОЗ "Об областном бюджете на 2022 год и на плановый период 2023 и 2024 годов", на 0,3% и составят 59607,7 млн. рублей.</w:t>
      </w:r>
    </w:p>
    <w:p>
      <w:pPr>
        <w:pStyle w:val="0"/>
        <w:spacing w:before="200" w:line-rule="auto"/>
        <w:ind w:firstLine="540"/>
        <w:jc w:val="both"/>
      </w:pPr>
      <w:r>
        <w:rPr>
          <w:sz w:val="20"/>
        </w:rPr>
        <w:t xml:space="preserve">Основные доходные источники, полностью зависимые от состояния экономики области, прогнозируются в 2023 году в объеме, утвержденном Законом области:</w:t>
      </w:r>
    </w:p>
    <w:p>
      <w:pPr>
        <w:pStyle w:val="0"/>
        <w:spacing w:before="200" w:line-rule="auto"/>
        <w:ind w:firstLine="540"/>
        <w:jc w:val="both"/>
      </w:pPr>
      <w:r>
        <w:rPr>
          <w:sz w:val="20"/>
        </w:rPr>
        <w:t xml:space="preserve">- налог на прибыль - в сумме 21280,4 млн. рублей;</w:t>
      </w:r>
    </w:p>
    <w:p>
      <w:pPr>
        <w:pStyle w:val="0"/>
        <w:spacing w:before="200" w:line-rule="auto"/>
        <w:ind w:firstLine="540"/>
        <w:jc w:val="both"/>
      </w:pPr>
      <w:r>
        <w:rPr>
          <w:sz w:val="20"/>
        </w:rPr>
        <w:t xml:space="preserve">- налог на доходы физических лиц - в сумме 19093,5 млн. рублей;</w:t>
      </w:r>
    </w:p>
    <w:p>
      <w:pPr>
        <w:pStyle w:val="0"/>
        <w:spacing w:before="200" w:line-rule="auto"/>
        <w:ind w:firstLine="540"/>
        <w:jc w:val="both"/>
      </w:pPr>
      <w:r>
        <w:rPr>
          <w:sz w:val="20"/>
        </w:rPr>
        <w:t xml:space="preserve">- налог на имущество организаций - в сумме 4453,5 млн. рублей;</w:t>
      </w:r>
    </w:p>
    <w:p>
      <w:pPr>
        <w:pStyle w:val="0"/>
        <w:spacing w:before="200" w:line-rule="auto"/>
        <w:ind w:firstLine="540"/>
        <w:jc w:val="both"/>
      </w:pPr>
      <w:r>
        <w:rPr>
          <w:sz w:val="20"/>
        </w:rPr>
        <w:t xml:space="preserve">- налог по упрощенной системе налогообложения - в сумме 4494,0 млн. рублей.</w:t>
      </w:r>
    </w:p>
    <w:p>
      <w:pPr>
        <w:pStyle w:val="0"/>
        <w:spacing w:before="200" w:line-rule="auto"/>
        <w:ind w:firstLine="540"/>
        <w:jc w:val="both"/>
      </w:pPr>
      <w:r>
        <w:rPr>
          <w:sz w:val="20"/>
        </w:rPr>
        <w:t xml:space="preserve">Объем неналоговых доходов прогнозируется в 2023 году в объеме 913,1 млн. рублей, в 2024 году - 918,6 млн. рублей, в 2025 году - 961,7 млн. рублей.</w:t>
      </w:r>
    </w:p>
    <w:p>
      <w:pPr>
        <w:pStyle w:val="0"/>
        <w:spacing w:before="200" w:line-rule="auto"/>
        <w:ind w:firstLine="540"/>
        <w:jc w:val="both"/>
      </w:pPr>
      <w:r>
        <w:rPr>
          <w:sz w:val="20"/>
        </w:rPr>
        <w:t xml:space="preserve">Налоговые и неналоговые доходы дорожного фонда области в 2023 году составят 7336,0 млн. рублей, что выше параметров, утвержденных </w:t>
      </w:r>
      <w:hyperlink w:history="0" r:id="rId43" w:tooltip="Закон Владимирской области от 23.12.2021 N 142-ОЗ (ред. от 15.09.2022) &quot;Об областном бюджете на 2022 год и на плановый период 2023 и 2024 годов&quot; (принят постановлением ЗС Владимирской области от 17.12.2021 N 401) {КонсультантПлюс}">
        <w:r>
          <w:rPr>
            <w:sz w:val="20"/>
            <w:color w:val="0000ff"/>
          </w:rPr>
          <w:t xml:space="preserve">Законом</w:t>
        </w:r>
      </w:hyperlink>
      <w:r>
        <w:rPr>
          <w:sz w:val="20"/>
        </w:rPr>
        <w:t xml:space="preserve"> области от 23 декабря 2021 года N 142-ОЗ "Об областном бюджете на 2022 год и на плановый период 2023 и 2024 годов", на 1,4%, или на 99,9 млн. рублей. На 2024 год прогнозируемый объем налоговых и неналоговых доходов дорожного фонда составит 7579,4 млн. рублей, что выше утвержденного плана на 1,3% или, на 100,3 млн. рублей. В 2025 году налоговые и неналоговые доходы дорожного фонда составят 8328,7 млн. рублей (109,9% к 2024 году).</w:t>
      </w:r>
    </w:p>
    <w:p>
      <w:pPr>
        <w:pStyle w:val="0"/>
        <w:spacing w:before="200" w:line-rule="auto"/>
        <w:ind w:firstLine="540"/>
        <w:jc w:val="both"/>
      </w:pPr>
      <w:r>
        <w:rPr>
          <w:sz w:val="20"/>
        </w:rPr>
        <w:t xml:space="preserve">Параметры налоговых и неналоговых доходов областного бюджета могут быть изменены в случае уточнения показателей социально-экономического развития области и внесения изменений в налоговое и бюджетное законодательство.</w:t>
      </w:r>
    </w:p>
    <w:p>
      <w:pPr>
        <w:pStyle w:val="0"/>
        <w:spacing w:before="200" w:line-rule="auto"/>
        <w:ind w:firstLine="540"/>
        <w:jc w:val="both"/>
      </w:pPr>
      <w:r>
        <w:rPr>
          <w:sz w:val="20"/>
        </w:rPr>
        <w:t xml:space="preserve">Налоговые и неналоговые доходы консолидированного бюджета области оценочно составят в 2023 году 76290,2 млн. рублей (104,3% к 2022 году), в 2024 году - 80173,3 млн. рублей (105% к 2023 году), в 2025 году - 83859,2 млн. рублей (104,6% к 2024 году).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470" w:name="P470"/>
    <w:bookmarkEnd w:id="470"/>
    <w:p>
      <w:pPr>
        <w:pStyle w:val="2"/>
        <w:jc w:val="center"/>
      </w:pPr>
      <w:r>
        <w:rPr>
          <w:sz w:val="20"/>
        </w:rPr>
        <w:t xml:space="preserve">ОСНОВНЫЕ НАПРАВЛЕНИЯ</w:t>
      </w:r>
    </w:p>
    <w:p>
      <w:pPr>
        <w:pStyle w:val="2"/>
        <w:jc w:val="center"/>
      </w:pPr>
      <w:r>
        <w:rPr>
          <w:sz w:val="20"/>
        </w:rPr>
        <w:t xml:space="preserve">БЮДЖЕТНОЙ ПОЛИТИКИ ВЛАДИМИРСКОЙ ОБЛАСТИ НА 2023 ГОД</w:t>
      </w:r>
    </w:p>
    <w:p>
      <w:pPr>
        <w:pStyle w:val="2"/>
        <w:jc w:val="center"/>
      </w:pPr>
      <w:r>
        <w:rPr>
          <w:sz w:val="20"/>
        </w:rPr>
        <w:t xml:space="preserve">И НА ПЛАНОВЫЙ ПЕРИОД 2024 И 2025 ГОДОВ</w:t>
      </w:r>
    </w:p>
    <w:p>
      <w:pPr>
        <w:pStyle w:val="0"/>
        <w:jc w:val="both"/>
      </w:pPr>
      <w:r>
        <w:rPr>
          <w:sz w:val="20"/>
        </w:rPr>
      </w:r>
    </w:p>
    <w:p>
      <w:pPr>
        <w:pStyle w:val="0"/>
        <w:ind w:firstLine="540"/>
        <w:jc w:val="both"/>
      </w:pPr>
      <w:r>
        <w:rPr>
          <w:sz w:val="20"/>
        </w:rPr>
        <w:t xml:space="preserve">Основные направления бюджетной политики Владимирской области на 2023 год и на плановый период 2024 и 2025 годов (далее - бюджетная политика на 2023 - 2025 годы) разработаны в соответствии со </w:t>
      </w:r>
      <w:hyperlink w:history="0" r:id="rId44"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w:t>
      </w:r>
    </w:p>
    <w:p>
      <w:pPr>
        <w:pStyle w:val="0"/>
        <w:jc w:val="both"/>
      </w:pPr>
      <w:r>
        <w:rPr>
          <w:sz w:val="20"/>
        </w:rPr>
      </w:r>
    </w:p>
    <w:p>
      <w:pPr>
        <w:pStyle w:val="2"/>
        <w:outlineLvl w:val="1"/>
        <w:jc w:val="center"/>
      </w:pPr>
      <w:r>
        <w:rPr>
          <w:sz w:val="20"/>
        </w:rPr>
        <w:t xml:space="preserve">1. Основные цели и задачи бюджетной политики</w:t>
      </w:r>
    </w:p>
    <w:p>
      <w:pPr>
        <w:pStyle w:val="2"/>
        <w:jc w:val="center"/>
      </w:pPr>
      <w:r>
        <w:rPr>
          <w:sz w:val="20"/>
        </w:rPr>
        <w:t xml:space="preserve">на 2023 - 2025 годы</w:t>
      </w:r>
    </w:p>
    <w:p>
      <w:pPr>
        <w:pStyle w:val="0"/>
        <w:jc w:val="both"/>
      </w:pPr>
      <w:r>
        <w:rPr>
          <w:sz w:val="20"/>
        </w:rPr>
      </w:r>
    </w:p>
    <w:p>
      <w:pPr>
        <w:pStyle w:val="0"/>
        <w:ind w:firstLine="540"/>
        <w:jc w:val="both"/>
      </w:pPr>
      <w:r>
        <w:rPr>
          <w:sz w:val="20"/>
        </w:rPr>
        <w:t xml:space="preserve">Целью бюджетной политики на 2023 - 2025 годы является определение основных подходов к формированию проекта областного бюджета на 2023 год и на плановый период 2024 и 2025 годов.</w:t>
      </w:r>
    </w:p>
    <w:p>
      <w:pPr>
        <w:pStyle w:val="0"/>
        <w:spacing w:before="200" w:line-rule="auto"/>
        <w:ind w:firstLine="540"/>
        <w:jc w:val="both"/>
      </w:pPr>
      <w:r>
        <w:rPr>
          <w:sz w:val="20"/>
        </w:rPr>
        <w:t xml:space="preserve">При формировании областного бюджета на 2023 - 2025 годы в первоочередном порядке должны быть предусмотрены бюджетные ассигнования на достижение национальных целей развития Российской Федерации на период до 2030 года, определенных </w:t>
      </w:r>
      <w:hyperlink w:history="0" r:id="rId45"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46"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r>
        <w:rPr>
          <w:sz w:val="20"/>
        </w:rPr>
        <w:t xml:space="preserve">В числе главных национальных целей развития страны на указанный период определены: сохранение населения, здоровья и благополучия людей, создание комфортной и безопасной среды для их жизни, а также условий и возможностей для самореализации и раскрытия таланта каждого человека.</w:t>
      </w:r>
    </w:p>
    <w:p>
      <w:pPr>
        <w:pStyle w:val="0"/>
        <w:spacing w:before="200" w:line-rule="auto"/>
        <w:ind w:firstLine="540"/>
        <w:jc w:val="both"/>
      </w:pPr>
      <w:r>
        <w:rPr>
          <w:sz w:val="20"/>
        </w:rPr>
        <w:t xml:space="preserve">Бюджетная политика в сфере расходов должна быть направлена на безусловное исполнение всех социально значимых обязательств области.</w:t>
      </w:r>
    </w:p>
    <w:p>
      <w:pPr>
        <w:pStyle w:val="0"/>
        <w:spacing w:before="200" w:line-rule="auto"/>
        <w:ind w:firstLine="540"/>
        <w:jc w:val="both"/>
      </w:pPr>
      <w:r>
        <w:rPr>
          <w:sz w:val="20"/>
        </w:rPr>
        <w:t xml:space="preserve">Исходя из поставленных целей и учитывая сложную экономическую ситуацию, связанную с внешними санкциями в отношении нашей страны, бюджетная политика на 2023 - 2025 годы направлена на решение следующих задач:</w:t>
      </w:r>
    </w:p>
    <w:p>
      <w:pPr>
        <w:pStyle w:val="0"/>
        <w:spacing w:before="200" w:line-rule="auto"/>
        <w:ind w:firstLine="540"/>
        <w:jc w:val="both"/>
      </w:pPr>
      <w:r>
        <w:rPr>
          <w:sz w:val="20"/>
        </w:rPr>
        <w:t xml:space="preserve">а) обеспечение долгосрочной сбалансированности областного бюджета как основного принципа ответственной бюджетной политики. С этой целью главным администраторам средств необходимо обеспечить:</w:t>
      </w:r>
    </w:p>
    <w:p>
      <w:pPr>
        <w:pStyle w:val="0"/>
        <w:spacing w:before="200" w:line-rule="auto"/>
        <w:ind w:firstLine="540"/>
        <w:jc w:val="both"/>
      </w:pPr>
      <w:r>
        <w:rPr>
          <w:sz w:val="20"/>
        </w:rPr>
        <w:t xml:space="preserve">- формирование реалистичного прогноза поступления доходов областного бюджета, осуществляемого на основе "базового" варианта прогноза социально-экономического развития области;</w:t>
      </w:r>
    </w:p>
    <w:p>
      <w:pPr>
        <w:pStyle w:val="0"/>
        <w:spacing w:before="200" w:line-rule="auto"/>
        <w:ind w:firstLine="540"/>
        <w:jc w:val="both"/>
      </w:pPr>
      <w:r>
        <w:rPr>
          <w:sz w:val="20"/>
        </w:rPr>
        <w:t xml:space="preserve">- привлечение дополнительных межбюджетных трансфертов из федерального бюджета в областной бюджет в максимально возможном объеме с учетом недоведения части бюджетных ассигнований федерального бюджета на реализацию госпрограмм Российской Федерации на 2023 - 2025 годы до их исполнителей в целях обеспечения сбалансированности федерального бюджета;</w:t>
      </w:r>
    </w:p>
    <w:p>
      <w:pPr>
        <w:pStyle w:val="0"/>
        <w:spacing w:before="200" w:line-rule="auto"/>
        <w:ind w:firstLine="540"/>
        <w:jc w:val="both"/>
      </w:pPr>
      <w:r>
        <w:rPr>
          <w:sz w:val="20"/>
        </w:rPr>
        <w:t xml:space="preserve">- первоочередное планирование бюджетных ассигнований на исполнение действующих расходных обязательств области;</w:t>
      </w:r>
    </w:p>
    <w:p>
      <w:pPr>
        <w:pStyle w:val="0"/>
        <w:spacing w:before="200" w:line-rule="auto"/>
        <w:ind w:firstLine="540"/>
        <w:jc w:val="both"/>
      </w:pPr>
      <w:r>
        <w:rPr>
          <w:sz w:val="20"/>
        </w:rPr>
        <w:t xml:space="preserve">- принятие новых расходных обязательств области исключительно по вопросам, отнесенным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 к полномочиям органов государственной власти субъектов Российской Федерации, на основе их тщательной оценки и при наличии ресурсов для их гарантированного исполнения, ограниченных условиями реструктуризации бюджетных кредитов из федерального бюджета, утвержденных </w:t>
      </w:r>
      <w:hyperlink w:history="0" r:id="rId48"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w:t>
      </w:r>
    </w:p>
    <w:p>
      <w:pPr>
        <w:pStyle w:val="0"/>
        <w:spacing w:before="200" w:line-rule="auto"/>
        <w:ind w:firstLine="540"/>
        <w:jc w:val="both"/>
      </w:pPr>
      <w:r>
        <w:rPr>
          <w:sz w:val="20"/>
        </w:rPr>
        <w:t xml:space="preserve">б) расширение практики использования механизмов государственно-частного партнерства, в том числе в социальной сфере;</w:t>
      </w:r>
    </w:p>
    <w:p>
      <w:pPr>
        <w:pStyle w:val="0"/>
        <w:spacing w:before="200" w:line-rule="auto"/>
        <w:ind w:firstLine="540"/>
        <w:jc w:val="both"/>
      </w:pPr>
      <w:r>
        <w:rPr>
          <w:sz w:val="20"/>
        </w:rPr>
        <w:t xml:space="preserve">в) реализация новых инвестиционных и инфраструктурных проектов по строительству объектов социальной сферы, жилищно-коммунального и дорожного хозяйства, промышленности;</w:t>
      </w:r>
    </w:p>
    <w:p>
      <w:pPr>
        <w:pStyle w:val="0"/>
        <w:spacing w:before="200" w:line-rule="auto"/>
        <w:ind w:firstLine="540"/>
        <w:jc w:val="both"/>
      </w:pPr>
      <w:r>
        <w:rPr>
          <w:sz w:val="20"/>
        </w:rPr>
        <w:t xml:space="preserve">г) включение в проект областного бюджета на 2023 - 2025 годы бюджетных ассигнований на строительство (реконструкцию) объектов областной (муниципальной) собственности и капитальный ремонт объектов областной собственности при наличии актуальной проектной документации с государственной экспертизой по состоянию на 1 августа 2022 года и отвода земельного участка под строительство, а также с учетом заключения Департамента архитектуры и строительства области о полноте и актуальности проектной документации по объектам строительства (реконструкции) областной (муниципальной) собственности;</w:t>
      </w:r>
    </w:p>
    <w:p>
      <w:pPr>
        <w:pStyle w:val="0"/>
        <w:spacing w:before="200" w:line-rule="auto"/>
        <w:ind w:firstLine="540"/>
        <w:jc w:val="both"/>
      </w:pPr>
      <w:r>
        <w:rPr>
          <w:sz w:val="20"/>
        </w:rPr>
        <w:t xml:space="preserve">д) повышение результативности субсидий, предоставляемых юридическим лицам, не являющимся государственными учреждениями, обеспечение публичности отбора получателей субсидий, прозрачных четких процедур отбора (конкурса или запроса предложений) будущих получателей субсидий, измеримых результатов от использования субсидий;</w:t>
      </w:r>
    </w:p>
    <w:p>
      <w:pPr>
        <w:pStyle w:val="0"/>
        <w:spacing w:before="200" w:line-rule="auto"/>
        <w:ind w:firstLine="540"/>
        <w:jc w:val="both"/>
      </w:pPr>
      <w:r>
        <w:rPr>
          <w:sz w:val="20"/>
        </w:rPr>
        <w:t xml:space="preserve">е) повышение эффективности бюджетных расходов. В этой связи необходимо обеспечить распределение бюджетных расходов в прямой зависимости от достижения конкретных результатов от использования бюджетных ассигнований областного бюджета, осуществляемых в рамках государственных программ области, а также устранить замечания Счетной палаты области по отчету об исполнении областного бюджета за 2021 год в части реализации "программных" мероприятий;</w:t>
      </w:r>
    </w:p>
    <w:p>
      <w:pPr>
        <w:pStyle w:val="0"/>
        <w:spacing w:before="200" w:line-rule="auto"/>
        <w:ind w:firstLine="540"/>
        <w:jc w:val="both"/>
      </w:pPr>
      <w:r>
        <w:rPr>
          <w:sz w:val="20"/>
        </w:rPr>
        <w:t xml:space="preserve">ж) совершенствование межбюджетного регулирования во взаимодействии с органами местного самоуправления с целью повышения уровня финансовой самодостаточности местных бюджетов, а также реализация механизма зачета стоимости проектно-сметной документации с государственной экспертизой на строительство объекта муниципальной собственности, разработанной за счет местного бюджета, в долевое участие областного бюджета по софинансированию указанных расходов.</w:t>
      </w:r>
    </w:p>
    <w:p>
      <w:pPr>
        <w:pStyle w:val="0"/>
        <w:jc w:val="both"/>
      </w:pPr>
      <w:r>
        <w:rPr>
          <w:sz w:val="20"/>
        </w:rPr>
      </w:r>
    </w:p>
    <w:p>
      <w:pPr>
        <w:pStyle w:val="2"/>
        <w:outlineLvl w:val="1"/>
        <w:jc w:val="center"/>
      </w:pPr>
      <w:r>
        <w:rPr>
          <w:sz w:val="20"/>
        </w:rPr>
        <w:t xml:space="preserve">2. Методика расчета предельных базовых бюджетных</w:t>
      </w:r>
    </w:p>
    <w:p>
      <w:pPr>
        <w:pStyle w:val="2"/>
        <w:jc w:val="center"/>
      </w:pPr>
      <w:r>
        <w:rPr>
          <w:sz w:val="20"/>
        </w:rPr>
        <w:t xml:space="preserve">ассигнований областного бюджета на 2023 - 2025 годы</w:t>
      </w:r>
    </w:p>
    <w:p>
      <w:pPr>
        <w:pStyle w:val="0"/>
        <w:jc w:val="both"/>
      </w:pPr>
      <w:r>
        <w:rPr>
          <w:sz w:val="20"/>
        </w:rPr>
      </w:r>
    </w:p>
    <w:p>
      <w:pPr>
        <w:pStyle w:val="0"/>
        <w:ind w:firstLine="540"/>
        <w:jc w:val="both"/>
      </w:pPr>
      <w:r>
        <w:rPr>
          <w:sz w:val="20"/>
        </w:rPr>
        <w:t xml:space="preserve">Основой для формирования расходов областного бюджета является реестр действующих расходных обязательств Владимирской области на 2023 - 2025 годы, составленный главными распорядителями средств областного бюджета (далее - главные распорядители) и направленный в июне 2022 года Губернатором области в Министерство финансов Российской Федерации. Данные реестра будут использованы указанным министерством для определения объема дотации из федерального бюджета на выравнивание бюджетной обеспеченности субъектов Российской Федерации.</w:t>
      </w:r>
    </w:p>
    <w:p>
      <w:pPr>
        <w:pStyle w:val="0"/>
        <w:spacing w:before="200" w:line-rule="auto"/>
        <w:ind w:firstLine="540"/>
        <w:jc w:val="both"/>
      </w:pPr>
      <w:r>
        <w:rPr>
          <w:sz w:val="20"/>
        </w:rPr>
        <w:t xml:space="preserve">При этом объемы расходов на исполнение действующих расходных обязательств на 2023 - 2024 годы соответствуют объемам бюджетных ассигнований, утвержденным </w:t>
      </w:r>
      <w:hyperlink w:history="0" r:id="rId49" w:tooltip="Закон Владимирской области от 23.12.2021 N 142-ОЗ (ред. от 15.09.2022) &quot;Об областном бюджете на 2022 год и на плановый период 2023 и 2024 годов&quot; (принят постановлением ЗС Владимирской области от 17.12.2021 N 401) {КонсультантПлюс}">
        <w:r>
          <w:rPr>
            <w:sz w:val="20"/>
            <w:color w:val="0000ff"/>
          </w:rPr>
          <w:t xml:space="preserve">Законом</w:t>
        </w:r>
      </w:hyperlink>
      <w:r>
        <w:rPr>
          <w:sz w:val="20"/>
        </w:rPr>
        <w:t xml:space="preserve"> области от 23 декабря 2021 г. N 142-ОЗ "Об областном бюджете на 2022 год и на плановый период 2023 и 2024 годов";</w:t>
      </w:r>
    </w:p>
    <w:p>
      <w:pPr>
        <w:pStyle w:val="0"/>
        <w:spacing w:before="200" w:line-rule="auto"/>
        <w:ind w:firstLine="540"/>
        <w:jc w:val="both"/>
      </w:pPr>
      <w:r>
        <w:rPr>
          <w:sz w:val="20"/>
        </w:rPr>
        <w:t xml:space="preserve">объемы расходов на 2025 год приняты с учетом:</w:t>
      </w:r>
    </w:p>
    <w:p>
      <w:pPr>
        <w:pStyle w:val="0"/>
        <w:spacing w:before="200" w:line-rule="auto"/>
        <w:ind w:firstLine="540"/>
        <w:jc w:val="both"/>
      </w:pPr>
      <w:r>
        <w:rPr>
          <w:sz w:val="20"/>
        </w:rPr>
        <w:t xml:space="preserve">сохранения длящихся расходных обязательств области на уровне объемов бюджетных ассигнований 2024 года;</w:t>
      </w:r>
    </w:p>
    <w:p>
      <w:pPr>
        <w:pStyle w:val="0"/>
        <w:spacing w:before="200" w:line-rule="auto"/>
        <w:ind w:firstLine="540"/>
        <w:jc w:val="both"/>
      </w:pPr>
      <w:r>
        <w:rPr>
          <w:sz w:val="20"/>
        </w:rPr>
        <w:t xml:space="preserve">исключения прекращающихся расходных обязательств области ограниченного срока действия.</w:t>
      </w:r>
    </w:p>
    <w:p>
      <w:pPr>
        <w:pStyle w:val="0"/>
        <w:spacing w:before="200" w:line-rule="auto"/>
        <w:ind w:firstLine="540"/>
        <w:jc w:val="both"/>
      </w:pPr>
      <w:r>
        <w:rPr>
          <w:sz w:val="20"/>
        </w:rPr>
        <w:t xml:space="preserve">В составе вновь принимаемых расходных обязательств области предусмотрены бюджетные ассигнования областного бюджета:</w:t>
      </w:r>
    </w:p>
    <w:p>
      <w:pPr>
        <w:pStyle w:val="0"/>
        <w:spacing w:before="200" w:line-rule="auto"/>
        <w:ind w:firstLine="540"/>
        <w:jc w:val="both"/>
      </w:pPr>
      <w:r>
        <w:rPr>
          <w:sz w:val="20"/>
        </w:rPr>
        <w:t xml:space="preserve">а) на увеличение оплаты труда работников бюджетной сферы области, поименованных в указах Президента Российской Федерации 2012 года, исходя из прогнозируемого среднемесячного дохода от трудовой деятельности на 2023 - 2025 годы;</w:t>
      </w:r>
    </w:p>
    <w:p>
      <w:pPr>
        <w:pStyle w:val="0"/>
        <w:spacing w:before="200" w:line-rule="auto"/>
        <w:ind w:firstLine="540"/>
        <w:jc w:val="both"/>
      </w:pPr>
      <w:r>
        <w:rPr>
          <w:sz w:val="20"/>
        </w:rPr>
        <w:t xml:space="preserve">б) на увеличение оплаты труда работников областных государственных учреждений, на которых не распространяется действие указов Президента Российской Федерации 2012 года, исходя из установленного Правительством Российской Федерации уровня инфляции;</w:t>
      </w:r>
    </w:p>
    <w:p>
      <w:pPr>
        <w:pStyle w:val="0"/>
        <w:spacing w:before="200" w:line-rule="auto"/>
        <w:ind w:firstLine="540"/>
        <w:jc w:val="both"/>
      </w:pPr>
      <w:r>
        <w:rPr>
          <w:sz w:val="20"/>
        </w:rPr>
        <w:t xml:space="preserve">в) на увеличение оплаты труда государственных гражданских служащих органов государственной власти области (госорганов) исходя из </w:t>
      </w:r>
      <w:hyperlink w:history="0" r:id="rId50" w:tooltip="Закон Владимирской области от 15.03.2022 N 11-ОЗ &quot;О внесении изменений в Закон Владимирской области &quot;О государственной гражданской службе Владимирской области&quot; и Закон Владимирской области &quot;О денежном содержании государственных гражданских служащих Владимирской области, денежном вознаграждении и денежном поощрении лиц, замещающих государственные должности Владимирской области&quot; (принят постановлением ЗС Владимирской области от 09.03.2022 N 38) {КонсультантПлюс}">
        <w:r>
          <w:rPr>
            <w:sz w:val="20"/>
            <w:color w:val="0000ff"/>
          </w:rPr>
          <w:t xml:space="preserve">Закона</w:t>
        </w:r>
      </w:hyperlink>
      <w:r>
        <w:rPr>
          <w:sz w:val="20"/>
        </w:rPr>
        <w:t xml:space="preserve"> области от 15 марта 2022 г. N 11-ОЗ "О внесении изменений в Закон Владимирской области "О государственной гражданской службе Владимирской области" и </w:t>
      </w:r>
      <w:hyperlink w:history="0" r:id="rId51" w:tooltip="Закон Владимирской области от 27.08.2004 N 136-ОЗ (ред. от 26.12.2022) &quot;О денежном содержании государственных гражданских служащих Владимирской области, денежном вознаграждении и денежном поощрении лиц, замещающих государственные должности Владимирской области&quot; (принят постановлением ЗС Владимирской области от 25.08.2004 N 572) {КонсультантПлюс}">
        <w:r>
          <w:rPr>
            <w:sz w:val="20"/>
            <w:color w:val="0000ff"/>
          </w:rPr>
          <w:t xml:space="preserve">Закон</w:t>
        </w:r>
      </w:hyperlink>
      <w:r>
        <w:rPr>
          <w:sz w:val="20"/>
        </w:rPr>
        <w:t xml:space="preserve"> Владимирской области "О денежном содержании государственных гражданских служащих Владимирской области, денежном вознаграждении и денежном поощрении лиц, замещающих государственные должности Владимирской области";</w:t>
      </w:r>
    </w:p>
    <w:p>
      <w:pPr>
        <w:pStyle w:val="0"/>
        <w:spacing w:before="200" w:line-rule="auto"/>
        <w:ind w:firstLine="540"/>
        <w:jc w:val="both"/>
      </w:pPr>
      <w:r>
        <w:rPr>
          <w:sz w:val="20"/>
        </w:rPr>
        <w:t xml:space="preserve">г) на увеличение размеров социальных пособий исходя из установленного Правительством Российской Федерации уровня инфляции, в том числе предусмотрены дополнительные бюджетные ассигнования на выплату пособий семьям с детьми в возрасте от 8 до 17 лет включительно;</w:t>
      </w:r>
    </w:p>
    <w:p>
      <w:pPr>
        <w:pStyle w:val="0"/>
        <w:spacing w:before="200" w:line-rule="auto"/>
        <w:ind w:firstLine="540"/>
        <w:jc w:val="both"/>
      </w:pPr>
      <w:r>
        <w:rPr>
          <w:sz w:val="20"/>
        </w:rPr>
        <w:t xml:space="preserve">д) на увеличение стипендий учащимся организаций среднего профессионального образования исходя из установленного Правительством Российской Федерации уровня инфляции;</w:t>
      </w:r>
    </w:p>
    <w:p>
      <w:pPr>
        <w:pStyle w:val="0"/>
        <w:spacing w:before="200" w:line-rule="auto"/>
        <w:ind w:firstLine="540"/>
        <w:jc w:val="both"/>
      </w:pPr>
      <w:r>
        <w:rPr>
          <w:sz w:val="20"/>
        </w:rPr>
        <w:t xml:space="preserve">е) на увеличение текущих расходов областных государственных учреждений в части оплаты коммунальных услуг на 4%;</w:t>
      </w:r>
    </w:p>
    <w:p>
      <w:pPr>
        <w:pStyle w:val="0"/>
        <w:spacing w:before="200" w:line-rule="auto"/>
        <w:ind w:firstLine="540"/>
        <w:jc w:val="both"/>
      </w:pPr>
      <w:r>
        <w:rPr>
          <w:sz w:val="20"/>
        </w:rPr>
        <w:t xml:space="preserve">ж) на строительство новой школы в городе Владимире;</w:t>
      </w:r>
    </w:p>
    <w:p>
      <w:pPr>
        <w:pStyle w:val="0"/>
        <w:spacing w:before="200" w:line-rule="auto"/>
        <w:ind w:firstLine="540"/>
        <w:jc w:val="both"/>
      </w:pPr>
      <w:r>
        <w:rPr>
          <w:sz w:val="20"/>
        </w:rPr>
        <w:t xml:space="preserve">з) на финансирование бюджетных инвестиций в объекты инфраструктуры в целях реализации новых инвестиционных проектов за счет средств, высвобождаемых в 2023 - 2024 годах в результате реструктуризации бюджетных кредитов федерального бюджета;</w:t>
      </w:r>
    </w:p>
    <w:p>
      <w:pPr>
        <w:pStyle w:val="0"/>
        <w:spacing w:before="200" w:line-rule="auto"/>
        <w:ind w:firstLine="540"/>
        <w:jc w:val="both"/>
      </w:pPr>
      <w:r>
        <w:rPr>
          <w:sz w:val="20"/>
        </w:rPr>
        <w:t xml:space="preserve">и) на реализацию инфраструктурных проектов по строительству объектов социальной сферы, жилищно-коммунального и дорожного хозяйства, промышленности за счет средств инфраструктурных бюджетных кредитов из федерального бюджета;</w:t>
      </w:r>
    </w:p>
    <w:p>
      <w:pPr>
        <w:pStyle w:val="0"/>
        <w:spacing w:before="200" w:line-rule="auto"/>
        <w:ind w:firstLine="540"/>
        <w:jc w:val="both"/>
      </w:pPr>
      <w:r>
        <w:rPr>
          <w:sz w:val="20"/>
        </w:rPr>
        <w:t xml:space="preserve">к) на формирование резервного фонда администрации области исходя из требований </w:t>
      </w:r>
      <w:hyperlink w:history="0" r:id="rId52"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статьи 81</w:t>
        </w:r>
      </w:hyperlink>
      <w:r>
        <w:rPr>
          <w:sz w:val="20"/>
        </w:rPr>
        <w:t xml:space="preserve"> Бюджетного кодекса Российской Федерации;</w:t>
      </w:r>
    </w:p>
    <w:p>
      <w:pPr>
        <w:pStyle w:val="0"/>
        <w:spacing w:before="200" w:line-rule="auto"/>
        <w:ind w:firstLine="540"/>
        <w:jc w:val="both"/>
      </w:pPr>
      <w:r>
        <w:rPr>
          <w:sz w:val="20"/>
        </w:rPr>
        <w:t xml:space="preserve">л) на обслуживание государственного долга области в связи с прогнозируемым привлечением коммерческих заимствований на покрытие дефицита областного бюджета в 2023 - 2025 годах.</w:t>
      </w:r>
    </w:p>
    <w:p>
      <w:pPr>
        <w:pStyle w:val="0"/>
        <w:spacing w:before="200" w:line-rule="auto"/>
        <w:ind w:firstLine="540"/>
        <w:jc w:val="both"/>
      </w:pPr>
      <w:r>
        <w:rPr>
          <w:sz w:val="20"/>
        </w:rPr>
        <w:t xml:space="preserve">В соответствии с нормами Бюджетного </w:t>
      </w:r>
      <w:hyperlink w:history="0" r:id="rId53" w:tooltip="&quot;Бюджетный кодекс Российской Федерации&quot; от 31.07.1998 N 145-ФЗ (ред. от 19.12.2022) ------------ Недействующая редакция {КонсультантПлюс}">
        <w:r>
          <w:rPr>
            <w:sz w:val="20"/>
            <w:color w:val="0000ff"/>
          </w:rPr>
          <w:t xml:space="preserve">кодекса</w:t>
        </w:r>
      </w:hyperlink>
      <w:r>
        <w:rPr>
          <w:sz w:val="20"/>
        </w:rPr>
        <w:t xml:space="preserve"> Российской Федерации должны быть предусмотрены условно утверждаемые расходы на 2024 и 2025 годы.</w:t>
      </w:r>
    </w:p>
    <w:p>
      <w:pPr>
        <w:pStyle w:val="0"/>
        <w:spacing w:before="200" w:line-rule="auto"/>
        <w:ind w:firstLine="540"/>
        <w:jc w:val="both"/>
      </w:pPr>
      <w:r>
        <w:rPr>
          <w:sz w:val="20"/>
        </w:rPr>
        <w:t xml:space="preserve">Кроме того, главными распорядителями даны предложения по выделению дополнительных бюджетных ассигнований на 2023 - 2025 годы, по которым отсутствует прямая обязанность субъекта Российской Федерации по их увеличению. Указанные расходы не обеспечены источниками финансирования и могут быть включены в областной бюджет на стадии формирования проектов федерального и областного бюджетов после дополнительной проработки возможности увеличения доходов областного бюджета для их финансирования. Таким образом, объем бюджетных ассигнований по отношению к объему, утвержденному настоящим распоряжением, может быть изменен на суммы безвозмездных поступлений из федерального бюджета. При этом долевое участие области в реализации государственных программ Российской Федерации будет финансово обеспечено.</w:t>
      </w:r>
    </w:p>
    <w:p>
      <w:pPr>
        <w:pStyle w:val="0"/>
        <w:spacing w:before="200" w:line-rule="auto"/>
        <w:ind w:firstLine="540"/>
        <w:jc w:val="both"/>
      </w:pPr>
      <w:r>
        <w:rPr>
          <w:sz w:val="20"/>
        </w:rPr>
        <w:t xml:space="preserve">На данном этапе составления бюджетных проектировок на 2023 - 2025 годы сформирован предельно допустимый дефицит областного бюджета. Целевой показатель по дефициту областного бюджета по условиям реструктуризации бюджетных кредитов федерального бюджета, установленным соглашениями с Минфином России, утвержден </w:t>
      </w:r>
      <w:hyperlink w:history="0" r:id="rId54"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в размере до 10% от налоговых и неналоговых доходов.</w:t>
      </w:r>
    </w:p>
    <w:p>
      <w:pPr>
        <w:pStyle w:val="0"/>
        <w:spacing w:before="200" w:line-rule="auto"/>
        <w:ind w:firstLine="540"/>
        <w:jc w:val="both"/>
      </w:pPr>
      <w:r>
        <w:rPr>
          <w:sz w:val="20"/>
        </w:rPr>
        <w:t xml:space="preserve">Верхний предел государственного долга по условиям реструктуризации не может превысить 14% от налоговых и неналоговых доходов областного бюджета, в том числе по рыночным заимствованиям в 2023 году - 7%, в 2024 - 2025 годах - 8% (превышение допускается на сумму привлеченных инфраструктурных бюджетных кредитов и по другим основаниям, установленным бюджетным законодательством).</w:t>
      </w:r>
    </w:p>
    <w:p>
      <w:pPr>
        <w:pStyle w:val="0"/>
        <w:spacing w:before="200" w:line-rule="auto"/>
        <w:ind w:firstLine="540"/>
        <w:jc w:val="both"/>
      </w:pPr>
      <w:r>
        <w:rPr>
          <w:sz w:val="20"/>
        </w:rPr>
        <w:t xml:space="preserve">Окончательное решение по размеру дефицита и объему государственного внутреннего долга должно быть принято в законе области об областном бюджете на 2023 - 2025 годы после уточнения объемов налоговых и неналоговых доходов областного бюджета и безвозмездных поступлений из федерального бюджета.</w:t>
      </w:r>
    </w:p>
    <w:p>
      <w:pPr>
        <w:pStyle w:val="0"/>
        <w:jc w:val="both"/>
      </w:pPr>
      <w:r>
        <w:rPr>
          <w:sz w:val="20"/>
        </w:rPr>
      </w:r>
    </w:p>
    <w:p>
      <w:pPr>
        <w:pStyle w:val="2"/>
        <w:outlineLvl w:val="1"/>
        <w:jc w:val="center"/>
      </w:pPr>
      <w:r>
        <w:rPr>
          <w:sz w:val="20"/>
        </w:rPr>
        <w:t xml:space="preserve">3. Основные направления бюджетной политики</w:t>
      </w:r>
    </w:p>
    <w:p>
      <w:pPr>
        <w:pStyle w:val="2"/>
        <w:jc w:val="center"/>
      </w:pPr>
      <w:r>
        <w:rPr>
          <w:sz w:val="20"/>
        </w:rPr>
        <w:t xml:space="preserve">в отраслях бюджетной сферы</w:t>
      </w:r>
    </w:p>
    <w:p>
      <w:pPr>
        <w:pStyle w:val="0"/>
        <w:jc w:val="both"/>
      </w:pPr>
      <w:r>
        <w:rPr>
          <w:sz w:val="20"/>
        </w:rPr>
      </w:r>
    </w:p>
    <w:p>
      <w:pPr>
        <w:pStyle w:val="0"/>
        <w:ind w:firstLine="540"/>
        <w:jc w:val="both"/>
      </w:pPr>
      <w:r>
        <w:rPr>
          <w:sz w:val="20"/>
        </w:rPr>
        <w:t xml:space="preserve">Бюджетная политика призвана обеспечить финансовыми ресурсами расходные обязательства региона по закрепленным за ним федеральным законодательством полномочиям. С этой целью более 68% расходов областного бюджета будет направлено на финансирование отраслей социальной сферы. Таким образом, социальные расходы - важнейший приоритет расходов областного бюджета.</w:t>
      </w:r>
    </w:p>
    <w:p>
      <w:pPr>
        <w:pStyle w:val="0"/>
        <w:spacing w:before="200" w:line-rule="auto"/>
        <w:ind w:firstLine="540"/>
        <w:jc w:val="both"/>
      </w:pPr>
      <w:r>
        <w:rPr>
          <w:sz w:val="20"/>
        </w:rPr>
        <w:t xml:space="preserve">В сфере образования реализация бюджетной политики будет направлена на решение задач и достижение стратегических целей национального проекта "Образование".</w:t>
      </w:r>
    </w:p>
    <w:p>
      <w:pPr>
        <w:pStyle w:val="0"/>
        <w:spacing w:before="200" w:line-rule="auto"/>
        <w:ind w:firstLine="540"/>
        <w:jc w:val="both"/>
      </w:pPr>
      <w:r>
        <w:rPr>
          <w:sz w:val="20"/>
        </w:rPr>
        <w:t xml:space="preserve">В целях создания новых мест в общеобразовательных организациях по федеральному проекту "Современная школа" в полном объеме должно быть предусмотрено финансовое обеспечение строительства новых школ в соответствии с актуальной проектно-сметной документацией, прошедшей государственную экспертизу. В трехлетнем периоде будет создано 8,3 тысячи новых мест в школах. В 2023 году должны быть введены школы на 1100 мест: в г. Александрове, г. Коврове и г. Покрове; на 500 мест в г. Вязники, на 350 мест в г. Гусь-Хрустальном и на 240 мест в с. Сновицы Суздальского района. В 2024 - 2025 годах при наличии актуальной проектной документации планируется строительство школ в городах Владимире, Гороховце.</w:t>
      </w:r>
    </w:p>
    <w:p>
      <w:pPr>
        <w:pStyle w:val="0"/>
        <w:spacing w:before="200" w:line-rule="auto"/>
        <w:ind w:firstLine="540"/>
        <w:jc w:val="both"/>
      </w:pPr>
      <w:r>
        <w:rPr>
          <w:sz w:val="20"/>
        </w:rPr>
        <w:t xml:space="preserve">К празднованию 1000-летия основания г. Суздаля будет осуществлено строительство современной школы на 1200 мест с привлечением средств из федерального бюджета.</w:t>
      </w:r>
    </w:p>
    <w:p>
      <w:pPr>
        <w:pStyle w:val="0"/>
        <w:spacing w:before="200" w:line-rule="auto"/>
        <w:ind w:firstLine="540"/>
        <w:jc w:val="both"/>
      </w:pPr>
      <w:r>
        <w:rPr>
          <w:sz w:val="20"/>
        </w:rPr>
        <w:t xml:space="preserve">Кроме того, в рамках концессионного соглашения планируется строительство школы на 1100 мест в мкр. Сновицы-Веризино города Владимира, в рамках инфраструктурного проекта на комплексное развитие пос. Доброград Ковровского района - строительство школы на 825 мест и двух детских садов на 220 мест.</w:t>
      </w:r>
    </w:p>
    <w:p>
      <w:pPr>
        <w:pStyle w:val="0"/>
        <w:spacing w:before="200" w:line-rule="auto"/>
        <w:ind w:firstLine="540"/>
        <w:jc w:val="both"/>
      </w:pPr>
      <w:r>
        <w:rPr>
          <w:sz w:val="20"/>
        </w:rPr>
        <w:t xml:space="preserve">Планируется реализация мероприятий, направленных на сохранение здоровья детей и безопасность участников образовательного процесса, обеспечение технической безопасности зданий и инженерных систем образовательных организаций. Предусмотрено оказание финансовой поддержки местным бюджетам на укрепление материально-технической базы муниципальных школ, детских садов и оздоровительных лагерей.</w:t>
      </w:r>
    </w:p>
    <w:p>
      <w:pPr>
        <w:pStyle w:val="0"/>
        <w:spacing w:before="200" w:line-rule="auto"/>
        <w:ind w:firstLine="540"/>
        <w:jc w:val="both"/>
      </w:pPr>
      <w:r>
        <w:rPr>
          <w:sz w:val="20"/>
        </w:rPr>
        <w:t xml:space="preserve">В государственных, муниципальных и частных образовательных организациях продолжится работа по организации бесплатного горячего питания обучающихся, получающих начальное общее образование.</w:t>
      </w:r>
    </w:p>
    <w:p>
      <w:pPr>
        <w:pStyle w:val="0"/>
        <w:spacing w:before="200" w:line-rule="auto"/>
        <w:ind w:firstLine="540"/>
        <w:jc w:val="both"/>
      </w:pPr>
      <w:r>
        <w:rPr>
          <w:sz w:val="20"/>
        </w:rPr>
        <w:t xml:space="preserve">В целях обеспечения здоровья и отдыха детей и подростков планируется обеспечение их путевками в оздоровительные организации области и другие регионы России, продолжится работа по развитию детского туризма. Сохранится финансирование проектов, направленных на поддержку лучших муниципальных загородных оздоровительных лагерей по итогам областного конкурса.</w:t>
      </w:r>
    </w:p>
    <w:p>
      <w:pPr>
        <w:pStyle w:val="0"/>
        <w:spacing w:before="200" w:line-rule="auto"/>
        <w:ind w:firstLine="540"/>
        <w:jc w:val="both"/>
      </w:pPr>
      <w:r>
        <w:rPr>
          <w:sz w:val="20"/>
        </w:rPr>
        <w:t xml:space="preserve">Предусматриваются мероприятия по созданию современной цифровой образовательной среды путем оснащения общеобразовательных организаций региона необходимым оборудованием, обеспечивающим высокое качество и доступность образования всех уровней, а также внедрения инструментов федеральной цифровой платформы в образовательный процесс.</w:t>
      </w:r>
    </w:p>
    <w:p>
      <w:pPr>
        <w:pStyle w:val="0"/>
        <w:spacing w:before="200" w:line-rule="auto"/>
        <w:ind w:firstLine="540"/>
        <w:jc w:val="both"/>
      </w:pPr>
      <w:r>
        <w:rPr>
          <w:sz w:val="20"/>
        </w:rPr>
        <w:t xml:space="preserve">В школах, расположенных в сельской местности и малых городах, продолжится создание Центров образования "Точка роста" для реализации программ цифрового и гуманитарного профилей, способствующих формированию современных компетенций и навыков у детей, что позволит создать к концу 2025 года не менее 114 Центров образования естественно-научной и технологической направленности.</w:t>
      </w:r>
    </w:p>
    <w:p>
      <w:pPr>
        <w:pStyle w:val="0"/>
        <w:spacing w:before="200" w:line-rule="auto"/>
        <w:ind w:firstLine="540"/>
        <w:jc w:val="both"/>
      </w:pPr>
      <w:r>
        <w:rPr>
          <w:sz w:val="20"/>
        </w:rPr>
        <w:t xml:space="preserve">Должны быть созданы условия для занятия физической культурой и спортом в сельских общеобразовательных организациях. Для этого к 2025 году будут реализованы мероприятия по укреплению материально-технической базы не менее чем в 105 общеобразовательных организациях, расположенных в сельской местности и малых городах.</w:t>
      </w:r>
    </w:p>
    <w:p>
      <w:pPr>
        <w:pStyle w:val="0"/>
        <w:spacing w:before="200" w:line-rule="auto"/>
        <w:ind w:firstLine="540"/>
        <w:jc w:val="both"/>
      </w:pPr>
      <w:r>
        <w:rPr>
          <w:sz w:val="20"/>
        </w:rPr>
        <w:t xml:space="preserve">Продолжится оказание финансовой помощи муниципальным образованиям по организации подвоза учащихся школ, расположенных в сельской местности, в целях приобретения новых школьных автобусов и поэтапной замене автотранспорта, выработавшего свой ресурс.</w:t>
      </w:r>
    </w:p>
    <w:p>
      <w:pPr>
        <w:pStyle w:val="0"/>
        <w:spacing w:before="200" w:line-rule="auto"/>
        <w:ind w:firstLine="540"/>
        <w:jc w:val="both"/>
      </w:pPr>
      <w:r>
        <w:rPr>
          <w:sz w:val="20"/>
        </w:rPr>
        <w:t xml:space="preserve">Остается актуальной работа по выявлению, поддержке и развитию способностей у талантливых детей и молодежи, созданию конкурентной среды и повышению доступности и качества дополнительного образования детей, в том числе с использованием системы дистанционного обучения. На базе 3 детских технопарков ("Кванториум" и 2 его филиала в областных колледжах), Центра поддержки одаренных детей продолжится развитие новых направлений дополнительного образования детей. Кроме того, две единицы мобильного технопарка "Кванториум" обеспечат дополнительный охват детей, проживающих в сельской местности и малых городах, дополнительными общеобразовательными программам естественнонаучной и технической направленности.</w:t>
      </w:r>
    </w:p>
    <w:p>
      <w:pPr>
        <w:pStyle w:val="0"/>
        <w:spacing w:before="200" w:line-rule="auto"/>
        <w:ind w:firstLine="540"/>
        <w:jc w:val="both"/>
      </w:pPr>
      <w:r>
        <w:rPr>
          <w:sz w:val="20"/>
        </w:rPr>
        <w:t xml:space="preserve">В трехлетнем периоде планируется создание еще 4 детских технопарков "Кванториум" на базе четырех муниципальных школ. Таким образом, по итогам 2023 - 2025 годов будет функционировать 7 технопарков.</w:t>
      </w:r>
    </w:p>
    <w:p>
      <w:pPr>
        <w:pStyle w:val="0"/>
        <w:spacing w:before="200" w:line-rule="auto"/>
        <w:ind w:firstLine="540"/>
        <w:jc w:val="both"/>
      </w:pPr>
      <w:r>
        <w:rPr>
          <w:sz w:val="20"/>
        </w:rPr>
        <w:t xml:space="preserve">Планируется создание центра выявления и поддержки одаренных детей в целях развития способностей и талантов у детей и молодежи для реализации дополнительных образовательных программ по направлениям "Наука", "Спорт", "Искусство".</w:t>
      </w:r>
    </w:p>
    <w:p>
      <w:pPr>
        <w:pStyle w:val="0"/>
        <w:spacing w:before="200" w:line-rule="auto"/>
        <w:ind w:firstLine="540"/>
        <w:jc w:val="both"/>
      </w:pPr>
      <w:r>
        <w:rPr>
          <w:sz w:val="20"/>
        </w:rPr>
        <w:t xml:space="preserve">Будет обеспечено функционирование созданной в 2022 году на базе Владимирского областного колледжа культуры и искусства школы креативных индустрий с обучением по программам дополнительного образования в сфере культуры. Ее деятельность будет способствовать открытию и развитию в детях и молодежи новых творческих способностей, проектного и креативного мышления, творческой профориентации, повышению общего культурного уровня, созданию мотивации к личностному и профессиональному росту.</w:t>
      </w:r>
    </w:p>
    <w:p>
      <w:pPr>
        <w:pStyle w:val="0"/>
        <w:spacing w:before="200" w:line-rule="auto"/>
        <w:ind w:firstLine="540"/>
        <w:jc w:val="both"/>
      </w:pPr>
      <w:r>
        <w:rPr>
          <w:sz w:val="20"/>
        </w:rPr>
        <w:t xml:space="preserve">В сфере профессионального образования продолжится комплексная поддержка подготовки высококвалифицированных кадров. На базе областных колледжей планируется создание мастерских, оснащенных современным высокотехнологичным оборудованием, что обеспечит подготовку специалистов по перспективным профессиям на уровне, соответствующем лучшим мировым стандартам и практикам, в том числе стандартам "Ворлдскиллс".</w:t>
      </w:r>
    </w:p>
    <w:p>
      <w:pPr>
        <w:pStyle w:val="0"/>
        <w:spacing w:before="200" w:line-rule="auto"/>
        <w:ind w:firstLine="540"/>
        <w:jc w:val="both"/>
      </w:pPr>
      <w:r>
        <w:rPr>
          <w:sz w:val="20"/>
        </w:rPr>
        <w:t xml:space="preserve">Будут сохранены все предусмотренные областным законодательством меры социальной поддержки работников системы образования, включая программу ипотечного кредитования учителей.</w:t>
      </w:r>
    </w:p>
    <w:p>
      <w:pPr>
        <w:pStyle w:val="0"/>
        <w:spacing w:before="200" w:line-rule="auto"/>
        <w:ind w:firstLine="540"/>
        <w:jc w:val="both"/>
      </w:pPr>
      <w:r>
        <w:rPr>
          <w:sz w:val="20"/>
        </w:rPr>
        <w:t xml:space="preserve">В трехлетнем периоде продолжится выплата ежемесячного вознаграждения за классное руководство в размере не менее 5000 рублей педагогическим работникам общеобразовательных организаций и педагогическим работникам - кураторам учебных групп областных колледжей и техникумов. Кроме того, сохранятся ранее установленные региональные выплаты на эти цели.</w:t>
      </w:r>
    </w:p>
    <w:p>
      <w:pPr>
        <w:pStyle w:val="0"/>
        <w:spacing w:before="200" w:line-rule="auto"/>
        <w:ind w:firstLine="540"/>
        <w:jc w:val="both"/>
      </w:pPr>
      <w:r>
        <w:rPr>
          <w:sz w:val="20"/>
        </w:rPr>
        <w:t xml:space="preserve">В целях стимулирования молодых специалистов и опытных учителей к переезду в сельскую местность и малые города продолжится реализация программы "Земский учитель".</w:t>
      </w:r>
    </w:p>
    <w:p>
      <w:pPr>
        <w:pStyle w:val="0"/>
        <w:spacing w:before="200" w:line-rule="auto"/>
        <w:ind w:firstLine="540"/>
        <w:jc w:val="both"/>
      </w:pPr>
      <w:r>
        <w:rPr>
          <w:sz w:val="20"/>
        </w:rPr>
        <w:t xml:space="preserve">В сфере молодежной политики и общественных проектов актуальным является дальнейшее совершенствование системы патриотического воспитания молодежи.</w:t>
      </w:r>
    </w:p>
    <w:p>
      <w:pPr>
        <w:pStyle w:val="0"/>
        <w:spacing w:before="200" w:line-rule="auto"/>
        <w:ind w:firstLine="540"/>
        <w:jc w:val="both"/>
      </w:pPr>
      <w:r>
        <w:rPr>
          <w:sz w:val="20"/>
        </w:rPr>
        <w:t xml:space="preserve">Планируется проведение областных мероприятий в сфере гражданско-патриотического воспитания и спортивно-патриотической направленности. Автономной некоммерческой организацией "Учебно-методический центр военно-патриотического воспитания молодежи "Авангард" будет осуществляться работа по проведению учебных сборов по основам военной службы для учащихся 10 классов образовательных учреждений и студентов первого курса учреждений среднего профессионального образования.</w:t>
      </w:r>
    </w:p>
    <w:p>
      <w:pPr>
        <w:pStyle w:val="0"/>
        <w:spacing w:before="200" w:line-rule="auto"/>
        <w:ind w:firstLine="540"/>
        <w:jc w:val="both"/>
      </w:pPr>
      <w:r>
        <w:rPr>
          <w:sz w:val="20"/>
        </w:rPr>
        <w:t xml:space="preserve">Будет продолжена реализация проектов-победителей конкурсов в сфере молодежной политики, в том числе добровольческих проектов молодежи, а также проведение молодежных обучающих форумов.</w:t>
      </w:r>
    </w:p>
    <w:p>
      <w:pPr>
        <w:pStyle w:val="0"/>
        <w:spacing w:before="200" w:line-rule="auto"/>
        <w:ind w:firstLine="540"/>
        <w:jc w:val="both"/>
      </w:pPr>
      <w:r>
        <w:rPr>
          <w:sz w:val="20"/>
        </w:rPr>
        <w:t xml:space="preserve">Бюджетная политики в сфере здравоохранения направлена на увеличение продолжительности жизни, повышение доступности и качества медицинской помощи жителям Владимирской области.</w:t>
      </w:r>
    </w:p>
    <w:p>
      <w:pPr>
        <w:pStyle w:val="0"/>
        <w:spacing w:before="200" w:line-rule="auto"/>
        <w:ind w:firstLine="540"/>
        <w:jc w:val="both"/>
      </w:pPr>
      <w:r>
        <w:rPr>
          <w:sz w:val="20"/>
        </w:rPr>
        <w:t xml:space="preserve">В 2023 - 2025 годах бюджетные ассигнования по отрасли "Здравоохранение" будут сформированы на финансовое обеспечение реализации территориальной программы государственных гарантий бесплатного оказания гражданам медицинской помощи с соблюдением установленного Правительством Российской Федерации среднего подушевого норматива финансирования.</w:t>
      </w:r>
    </w:p>
    <w:p>
      <w:pPr>
        <w:pStyle w:val="0"/>
        <w:spacing w:before="200" w:line-rule="auto"/>
        <w:ind w:firstLine="540"/>
        <w:jc w:val="both"/>
      </w:pPr>
      <w:r>
        <w:rPr>
          <w:sz w:val="20"/>
        </w:rPr>
        <w:t xml:space="preserve">Несмотря на текущие сложности, в полном объеме будут финансово обеспечены планы по строительству, ремонту и оснащению больниц, поликлиник, фельдшерско-акушерских пунктов, обеспечена закупка санитарного транспорта.</w:t>
      </w:r>
    </w:p>
    <w:p>
      <w:pPr>
        <w:pStyle w:val="0"/>
        <w:spacing w:before="200" w:line-rule="auto"/>
        <w:ind w:firstLine="540"/>
        <w:jc w:val="both"/>
      </w:pPr>
      <w:r>
        <w:rPr>
          <w:sz w:val="20"/>
        </w:rPr>
        <w:t xml:space="preserve">Планируется дальнейшая модернизация первичного звена здравоохранения, включающая укрепление материально-технической базы медицинских учреждений, развитие первичной медико-санитарной помощи, повышение доступности амбулаторной помощи, а также профилактику заболеваний и пропаганду здорового образа жизни.</w:t>
      </w:r>
    </w:p>
    <w:p>
      <w:pPr>
        <w:pStyle w:val="0"/>
        <w:spacing w:before="200" w:line-rule="auto"/>
        <w:ind w:firstLine="540"/>
        <w:jc w:val="both"/>
      </w:pPr>
      <w:r>
        <w:rPr>
          <w:sz w:val="20"/>
        </w:rPr>
        <w:t xml:space="preserve">В трехлетнем периоде будут построены поликлиники в г. Кольчугино, г. Собинке, г. Суздале, г. Лакинске, детская поликлиника в г. Муроме.</w:t>
      </w:r>
    </w:p>
    <w:p>
      <w:pPr>
        <w:pStyle w:val="0"/>
        <w:spacing w:before="200" w:line-rule="auto"/>
        <w:ind w:firstLine="540"/>
        <w:jc w:val="both"/>
      </w:pPr>
      <w:r>
        <w:rPr>
          <w:sz w:val="20"/>
        </w:rPr>
        <w:t xml:space="preserve">Повышение территориальной доступности первичной медико-санитарной и скорой медицинской помощи для граждан области будет осуществляться за счет использования парка мобильных медицинских передвижных комплексов, а также увеличения количества вылетов санитарной авиации.</w:t>
      </w:r>
    </w:p>
    <w:p>
      <w:pPr>
        <w:pStyle w:val="0"/>
        <w:spacing w:before="200" w:line-rule="auto"/>
        <w:ind w:firstLine="540"/>
        <w:jc w:val="both"/>
      </w:pPr>
      <w:r>
        <w:rPr>
          <w:sz w:val="20"/>
        </w:rPr>
        <w:t xml:space="preserve">Приоритетными остаются направления по оказанию медицинской помощи пациентам с сердечно-сосудистыми и онкологическими заболеваниями. Начатая в 2022 году реконструкция здания материального склада под здание лабораторного корпуса с переходом в хирургический корпус Областного онкологического диспансера, позволит улучшить методы диагностики, направленные на раннее выявление онкологических заболеваний.</w:t>
      </w:r>
    </w:p>
    <w:p>
      <w:pPr>
        <w:pStyle w:val="0"/>
        <w:spacing w:before="200" w:line-rule="auto"/>
        <w:ind w:firstLine="540"/>
        <w:jc w:val="both"/>
      </w:pPr>
      <w:r>
        <w:rPr>
          <w:sz w:val="20"/>
        </w:rPr>
        <w:t xml:space="preserve">В рамках нового федерального проекта "Оптимальная для восстановления здоровья медицинская реабилитация" продолжится работа над повышением доступности медицинской реабилитации для инвалидов, а также для пациентов после перенесенных заболеваний, операций и травм путем оснащения и переоснащения отделений медицинской реабилитации и дневных стационаров современным реабилитационным оборудованием.</w:t>
      </w:r>
    </w:p>
    <w:p>
      <w:pPr>
        <w:pStyle w:val="0"/>
        <w:spacing w:before="200" w:line-rule="auto"/>
        <w:ind w:firstLine="540"/>
        <w:jc w:val="both"/>
      </w:pPr>
      <w:r>
        <w:rPr>
          <w:sz w:val="20"/>
        </w:rPr>
        <w:t xml:space="preserve">Ключевым приоритетом в сбережении здоровья останется обеспечение граждан области льготными лекарственными препаратами. Кроме того, при участии фонда "Круг добра", созданного по инициативе Президента Российской Федерации, продолжится закупка лекарств, незарегистрированных в России, медицинских изделий и технических средств реабилитации для детей с тяжелой патологией.</w:t>
      </w:r>
    </w:p>
    <w:p>
      <w:pPr>
        <w:pStyle w:val="0"/>
        <w:spacing w:before="200" w:line-rule="auto"/>
        <w:ind w:firstLine="540"/>
        <w:jc w:val="both"/>
      </w:pPr>
      <w:r>
        <w:rPr>
          <w:sz w:val="20"/>
        </w:rPr>
        <w:t xml:space="preserve">Планируется реализация очередных этапов внедрения и развития медицинских информационных систем, что обеспечит полное взаимодействие медицинских организаций на основе ЕГИСЗ в целях оказания медицинской помощи гражданам в соответствии со стандартами и клиническими рекомендациями, а также доступ граждан к услугам и сервисам посредством электронного документооборота.</w:t>
      </w:r>
    </w:p>
    <w:p>
      <w:pPr>
        <w:pStyle w:val="0"/>
        <w:spacing w:before="200" w:line-rule="auto"/>
        <w:ind w:firstLine="540"/>
        <w:jc w:val="both"/>
      </w:pPr>
      <w:r>
        <w:rPr>
          <w:sz w:val="20"/>
        </w:rPr>
        <w:t xml:space="preserve">В целях сохранения и развития кадрового потенциала государственной системы здравоохранения области, притока в отрасль молодых специалистов продолжится реализация комплекса мер социальной поддержки медицинских работников.</w:t>
      </w:r>
    </w:p>
    <w:p>
      <w:pPr>
        <w:pStyle w:val="0"/>
        <w:spacing w:before="200" w:line-rule="auto"/>
        <w:ind w:firstLine="540"/>
        <w:jc w:val="both"/>
      </w:pPr>
      <w:r>
        <w:rPr>
          <w:sz w:val="20"/>
        </w:rPr>
        <w:t xml:space="preserve">Приоритетом в сфере социальной политики является реализация мероприятий, направленных на улучшение уровня жизни семей при рождении детей, граждан, оказавшихся в трудной жизненной ситуации, обеспечение полноты и качества предоставления социальных услуг и недопущение снижения их доступности для граждан.</w:t>
      </w:r>
    </w:p>
    <w:p>
      <w:pPr>
        <w:pStyle w:val="0"/>
        <w:spacing w:before="200" w:line-rule="auto"/>
        <w:ind w:firstLine="540"/>
        <w:jc w:val="both"/>
      </w:pPr>
      <w:r>
        <w:rPr>
          <w:sz w:val="20"/>
        </w:rPr>
        <w:t xml:space="preserve">Во исполнение Послания Президента Российской Федерации Федеральному Собранию от 21.04.2021 продолжится реализация целостной системы мер поддержки семей с детьми: это выплаты в связи с рождением (усыновлением) первого ребенка, выплаты на третьего или последующих детей до достижения ребенком возраста трех лет, выплаты на детей от трех до семи лет включительно, а также установленные с 1 апреля 2022 года новые меры социальной поддержки на детей в возрасте от восьми до семнадцати лет.</w:t>
      </w:r>
    </w:p>
    <w:p>
      <w:pPr>
        <w:pStyle w:val="0"/>
        <w:spacing w:before="200" w:line-rule="auto"/>
        <w:ind w:firstLine="540"/>
        <w:jc w:val="both"/>
      </w:pPr>
      <w:r>
        <w:rPr>
          <w:sz w:val="20"/>
        </w:rPr>
        <w:t xml:space="preserve">Будет обеспечено расширение практики внедрения социального контракта в рамках оказания государственной социальной помощи, как эффективной формы социальной поддержки нуждающихся семей по преодолению трудной жизненной ситуации, улучшению своего материального положения.</w:t>
      </w:r>
    </w:p>
    <w:p>
      <w:pPr>
        <w:pStyle w:val="0"/>
        <w:spacing w:before="200" w:line-rule="auto"/>
        <w:ind w:firstLine="540"/>
        <w:jc w:val="both"/>
      </w:pPr>
      <w:r>
        <w:rPr>
          <w:sz w:val="20"/>
        </w:rPr>
        <w:t xml:space="preserve">Обеспечение доступности социальных услуг высокого качества для всех нуждающихся граждан пожилого возраста и инвалидов будет осуществляться путем дальнейшего развития сети организаций различных форм собственности, предоставляющих социальные услуги. В 2023 - 2025 годах запланировано начало строительства социального городка для нужд пожилых граждан и инвалидов в г. Киржаче и пансионата в г. Юрьев-Польский, в которых будут созданы условия для жизнедеятельности указанных категорий граждан в соответствии с их состоянием.</w:t>
      </w:r>
    </w:p>
    <w:p>
      <w:pPr>
        <w:pStyle w:val="0"/>
        <w:spacing w:before="200" w:line-rule="auto"/>
        <w:ind w:firstLine="540"/>
        <w:jc w:val="both"/>
      </w:pPr>
      <w:r>
        <w:rPr>
          <w:sz w:val="20"/>
        </w:rPr>
        <w:t xml:space="preserve">Продолжат развиваться стационарозамещающие технологии, а также новая система долговременного ухода за пожилыми людьми, нуждающимися в социальном обслуживании, путем развития служб сиделок и патронажа.</w:t>
      </w:r>
    </w:p>
    <w:p>
      <w:pPr>
        <w:pStyle w:val="0"/>
        <w:spacing w:before="200" w:line-rule="auto"/>
        <w:ind w:firstLine="540"/>
        <w:jc w:val="both"/>
      </w:pPr>
      <w:r>
        <w:rPr>
          <w:sz w:val="20"/>
        </w:rPr>
        <w:t xml:space="preserve">В трехлетнем периоде планируется увеличить объем расходов областного бюджета, направляемых на обеспечение жильем детей-сирот и детей, оставшихся без попечения родителей.</w:t>
      </w:r>
    </w:p>
    <w:p>
      <w:pPr>
        <w:pStyle w:val="0"/>
        <w:spacing w:before="200" w:line-rule="auto"/>
        <w:ind w:firstLine="540"/>
        <w:jc w:val="both"/>
      </w:pPr>
      <w:r>
        <w:rPr>
          <w:sz w:val="20"/>
        </w:rPr>
        <w:t xml:space="preserve">В сфере физической культуры и спорта продолжится реализация федерального проекта "Спорт - норма жизни" национального проекта "Демография", направленного на доведение к 2025 году до 58,8% доли населения, систематически занимающегося физической культурой и спортом.</w:t>
      </w:r>
    </w:p>
    <w:p>
      <w:pPr>
        <w:pStyle w:val="0"/>
        <w:spacing w:before="200" w:line-rule="auto"/>
        <w:ind w:firstLine="540"/>
        <w:jc w:val="both"/>
      </w:pPr>
      <w:r>
        <w:rPr>
          <w:sz w:val="20"/>
        </w:rPr>
        <w:t xml:space="preserve">Главным приоритетом в отрасли остается создание для населения возможностей для занятий физической культурой и спортом, развитие детско-юношеского спорта, а также создание условий для подготовки спортсменов, представляющих Владимирскую область на соревнованиях различного уровня.</w:t>
      </w:r>
    </w:p>
    <w:p>
      <w:pPr>
        <w:pStyle w:val="0"/>
        <w:spacing w:before="200" w:line-rule="auto"/>
        <w:ind w:firstLine="540"/>
        <w:jc w:val="both"/>
      </w:pPr>
      <w:r>
        <w:rPr>
          <w:sz w:val="20"/>
        </w:rPr>
        <w:t xml:space="preserve">В 2023 - 2025 годах планируется дальнейшее совершенствование системы спорта высших достижений и системы подготовки спортивного резерва для сборных команд Российской Федерации. Также продолжится подготовка спортсменов к участию в мероприятиях по олимпийским, паралимпийским и сурдлимпийским видам спорта. С этой целью будет оказано содействие развитию спортивных школ, на базе которых проводятся тренировочные мероприятия.</w:t>
      </w:r>
    </w:p>
    <w:p>
      <w:pPr>
        <w:pStyle w:val="0"/>
        <w:spacing w:before="200" w:line-rule="auto"/>
        <w:ind w:firstLine="540"/>
        <w:jc w:val="both"/>
      </w:pPr>
      <w:r>
        <w:rPr>
          <w:sz w:val="20"/>
        </w:rPr>
        <w:t xml:space="preserve">В государственных и муниципальных учреждениях спорта будет обеспечена реализация программ спортивной подготовки в соответствии с требованиями федеральных стандартов по видам спорта. Планируется приобретение спортивного оборудования и инвентаря, необходимого для организации тренировочного процесса. В рамках данного направления расходов продолжится оказание финансовой поддержки местным бюджетам на развитие базовых и олимпийских видов спорта.</w:t>
      </w:r>
    </w:p>
    <w:p>
      <w:pPr>
        <w:pStyle w:val="0"/>
        <w:spacing w:before="200" w:line-rule="auto"/>
        <w:ind w:firstLine="540"/>
        <w:jc w:val="both"/>
      </w:pPr>
      <w:r>
        <w:rPr>
          <w:sz w:val="20"/>
        </w:rPr>
        <w:t xml:space="preserve">Предусматривается дальнейшее развитие инфраструктуры физической культуры и спорта путем модернизации спортивных объектов и их оснащения спортивно-технологическим оборудованием, в том числе для лиц с ограниченными возможностями здоровья и инвалидов. К 2024 году во всех муниципальных районах при центрах тестирования ГТО должны быть созданы и оснащены оборудованием малые спортивные площадки в общем количестве 17 единиц.</w:t>
      </w:r>
    </w:p>
    <w:p>
      <w:pPr>
        <w:pStyle w:val="0"/>
        <w:spacing w:before="200" w:line-rule="auto"/>
        <w:ind w:firstLine="540"/>
        <w:jc w:val="both"/>
      </w:pPr>
      <w:r>
        <w:rPr>
          <w:sz w:val="20"/>
        </w:rPr>
        <w:t xml:space="preserve">Планируется строительство физкультурно-оздоровительного центра в сельском поселении Новосельское Ковровского района и многофункционального спортивного комплекса в г. Владимире в рамках федерального проекта "Спорт - норма жизни".</w:t>
      </w:r>
    </w:p>
    <w:p>
      <w:pPr>
        <w:pStyle w:val="0"/>
        <w:spacing w:before="200" w:line-rule="auto"/>
        <w:ind w:firstLine="540"/>
        <w:jc w:val="both"/>
      </w:pPr>
      <w:r>
        <w:rPr>
          <w:sz w:val="20"/>
        </w:rPr>
        <w:t xml:space="preserve">В целях увеличения числа граждан, занимающихся спортом и ведущих здоровый образ жизни, будет продолжено оказание финансовой поддержки бюджетам муниципальных районов и городских округов на частичное содержание объектов спортивной инфраструктуры, на развитие физической культуры и спорта в части укрепления материально-технической базы спортивных объектов. Планируется дальнейшее внедрение Всероссийского физкультурно-спортивного комплекса "Готов к труду и обороне", оказание финансовой поддержки автономным некоммерческим организациям "Футбольный клуб "Торпедо-Владимир" и "Мотобольный клуб "Ковровец" в целях развития футбола и мотобола.</w:t>
      </w:r>
    </w:p>
    <w:p>
      <w:pPr>
        <w:pStyle w:val="0"/>
        <w:spacing w:before="200" w:line-rule="auto"/>
        <w:ind w:firstLine="540"/>
        <w:jc w:val="both"/>
      </w:pPr>
      <w:r>
        <w:rPr>
          <w:sz w:val="20"/>
        </w:rPr>
        <w:t xml:space="preserve">В рамках реализации федерального проекта "Бизнес-спринт (Я выбираю спорт)" государственной программы Российской Федерации "Развитие физической культуры и спорта" будут реализованы мероприятия по закупке и монтажу оборудования для создания двух "умных" спортивных площадок. К концу 2024 года будут созданы четыре "умные" спортивные площадки с аппаратным цифровым контролем занимающихся и аппаратным методическим сопровождением проведения самостоятельных занятий физической культурой и спортом по рекомендуемым программам.</w:t>
      </w:r>
    </w:p>
    <w:p>
      <w:pPr>
        <w:pStyle w:val="0"/>
        <w:spacing w:before="200" w:line-rule="auto"/>
        <w:ind w:firstLine="540"/>
        <w:jc w:val="both"/>
      </w:pPr>
      <w:r>
        <w:rPr>
          <w:sz w:val="20"/>
        </w:rPr>
        <w:t xml:space="preserve">Планируется проведение массовых и спортивных мероприятий для всех групп населения согласно календарному плану физкультурно-оздоровительных и спортивных мероприятий, в том числе совместно со спортивными федерациями, а также фестивалей народных традиций, отечественных видов спорта и боевых искусств "Богатырские игры".</w:t>
      </w:r>
    </w:p>
    <w:p>
      <w:pPr>
        <w:pStyle w:val="0"/>
        <w:spacing w:before="200" w:line-rule="auto"/>
        <w:ind w:firstLine="540"/>
        <w:jc w:val="both"/>
      </w:pPr>
      <w:r>
        <w:rPr>
          <w:sz w:val="20"/>
        </w:rPr>
        <w:t xml:space="preserve">В целях стимулирования спортивных достижений сохраняются учрежденные в регионе выплаты персональных стипендий спортсменам - членам спортивных сборных команд Российской Федерации и премий спортсменам Владимирской области, а также их тренерам.</w:t>
      </w:r>
    </w:p>
    <w:p>
      <w:pPr>
        <w:pStyle w:val="0"/>
        <w:spacing w:before="200" w:line-rule="auto"/>
        <w:ind w:firstLine="540"/>
        <w:jc w:val="both"/>
      </w:pPr>
      <w:r>
        <w:rPr>
          <w:sz w:val="20"/>
        </w:rPr>
        <w:t xml:space="preserve">В сфере культуры бюджетная политика будет осуществляться в соответствии со следующими основными приоритетами:</w:t>
      </w:r>
    </w:p>
    <w:p>
      <w:pPr>
        <w:pStyle w:val="0"/>
        <w:spacing w:before="200" w:line-rule="auto"/>
        <w:ind w:firstLine="540"/>
        <w:jc w:val="both"/>
      </w:pPr>
      <w:r>
        <w:rPr>
          <w:sz w:val="20"/>
        </w:rPr>
        <w:t xml:space="preserve">- обеспечение деятельности культурно-досуговых, музыкальных и театральных организаций, общедоступных библиотек;</w:t>
      </w:r>
    </w:p>
    <w:p>
      <w:pPr>
        <w:pStyle w:val="0"/>
        <w:spacing w:before="200" w:line-rule="auto"/>
        <w:ind w:firstLine="540"/>
        <w:jc w:val="both"/>
      </w:pPr>
      <w:r>
        <w:rPr>
          <w:sz w:val="20"/>
        </w:rPr>
        <w:t xml:space="preserve">- укрепление и обновление материально-технической базы областных и муниципальных учреждений культуры;</w:t>
      </w:r>
    </w:p>
    <w:p>
      <w:pPr>
        <w:pStyle w:val="0"/>
        <w:spacing w:before="200" w:line-rule="auto"/>
        <w:ind w:firstLine="540"/>
        <w:jc w:val="both"/>
      </w:pPr>
      <w:r>
        <w:rPr>
          <w:sz w:val="20"/>
        </w:rPr>
        <w:t xml:space="preserve">- развитие сети детских школ искусств;</w:t>
      </w:r>
    </w:p>
    <w:p>
      <w:pPr>
        <w:pStyle w:val="0"/>
        <w:spacing w:before="200" w:line-rule="auto"/>
        <w:ind w:firstLine="540"/>
        <w:jc w:val="both"/>
      </w:pPr>
      <w:r>
        <w:rPr>
          <w:sz w:val="20"/>
        </w:rPr>
        <w:t xml:space="preserve">- сохранение культурного наследия;</w:t>
      </w:r>
    </w:p>
    <w:p>
      <w:pPr>
        <w:pStyle w:val="0"/>
        <w:spacing w:before="200" w:line-rule="auto"/>
        <w:ind w:firstLine="540"/>
        <w:jc w:val="both"/>
      </w:pPr>
      <w:r>
        <w:rPr>
          <w:sz w:val="20"/>
        </w:rPr>
        <w:t xml:space="preserve">- поддержка творческой деятельности;</w:t>
      </w:r>
    </w:p>
    <w:p>
      <w:pPr>
        <w:pStyle w:val="0"/>
        <w:spacing w:before="200" w:line-rule="auto"/>
        <w:ind w:firstLine="540"/>
        <w:jc w:val="both"/>
      </w:pPr>
      <w:r>
        <w:rPr>
          <w:sz w:val="20"/>
        </w:rPr>
        <w:t xml:space="preserve">- продвижение талантливой молодежи в сфере культуры.</w:t>
      </w:r>
    </w:p>
    <w:p>
      <w:pPr>
        <w:pStyle w:val="0"/>
        <w:spacing w:before="200" w:line-rule="auto"/>
        <w:ind w:firstLine="540"/>
        <w:jc w:val="both"/>
      </w:pPr>
      <w:r>
        <w:rPr>
          <w:sz w:val="20"/>
        </w:rPr>
        <w:t xml:space="preserve">За счет средств областного и федерального бюджетов будет оказана финансовая помощь муниципальным образованиям на укрепление материально-технической базы муниципальных учреждений культуры по следующим направлениям:</w:t>
      </w:r>
    </w:p>
    <w:p>
      <w:pPr>
        <w:pStyle w:val="0"/>
        <w:spacing w:before="200" w:line-rule="auto"/>
        <w:ind w:firstLine="540"/>
        <w:jc w:val="both"/>
      </w:pPr>
      <w:r>
        <w:rPr>
          <w:sz w:val="20"/>
        </w:rPr>
        <w:t xml:space="preserve">- на развитие сети учреждений культурно-досугового типа, техническое оснащение муниципальных музеев, модернизацию библиотек;</w:t>
      </w:r>
    </w:p>
    <w:p>
      <w:pPr>
        <w:pStyle w:val="0"/>
        <w:spacing w:before="200" w:line-rule="auto"/>
        <w:ind w:firstLine="540"/>
        <w:jc w:val="both"/>
      </w:pPr>
      <w:r>
        <w:rPr>
          <w:sz w:val="20"/>
        </w:rPr>
        <w:t xml:space="preserve">- на комплектование книжных фондов библиотек муниципальных образований;</w:t>
      </w:r>
    </w:p>
    <w:p>
      <w:pPr>
        <w:pStyle w:val="0"/>
        <w:spacing w:before="200" w:line-rule="auto"/>
        <w:ind w:firstLine="540"/>
        <w:jc w:val="both"/>
      </w:pPr>
      <w:r>
        <w:rPr>
          <w:sz w:val="20"/>
        </w:rPr>
        <w:t xml:space="preserve">- на приобретение передвижных многофункциональных культурных центров (автоклубов) для обслуживания сельского населения, автотранспорта для внестационарного обслуживания населения в сфере культуры;</w:t>
      </w:r>
    </w:p>
    <w:p>
      <w:pPr>
        <w:pStyle w:val="0"/>
        <w:spacing w:before="200" w:line-rule="auto"/>
        <w:ind w:firstLine="540"/>
        <w:jc w:val="both"/>
      </w:pPr>
      <w:r>
        <w:rPr>
          <w:sz w:val="20"/>
        </w:rPr>
        <w:t xml:space="preserve">- на поддержку творческой деятельности и укрепление материально-технической базы муниципального драматического театра г. Александрова в целях постановки новых спектаклей, приобретения театрального, технического и технологического оборудования;</w:t>
      </w:r>
    </w:p>
    <w:p>
      <w:pPr>
        <w:pStyle w:val="0"/>
        <w:spacing w:before="200" w:line-rule="auto"/>
        <w:ind w:firstLine="540"/>
        <w:jc w:val="both"/>
      </w:pPr>
      <w:r>
        <w:rPr>
          <w:sz w:val="20"/>
        </w:rPr>
        <w:t xml:space="preserve">- на модернизацию муниципальных детских школ искусств по видам искусств, обеспечение их музыкальными инструментами, оборудованием и учебными материалами.</w:t>
      </w:r>
    </w:p>
    <w:p>
      <w:pPr>
        <w:pStyle w:val="0"/>
        <w:spacing w:before="200" w:line-rule="auto"/>
        <w:ind w:firstLine="540"/>
        <w:jc w:val="both"/>
      </w:pPr>
      <w:r>
        <w:rPr>
          <w:sz w:val="20"/>
        </w:rPr>
        <w:t xml:space="preserve">Планируются мероприятия по реконструкции и реставрации памятников истории и культуры Владимирской области, дальнейшее развитие материально-технической базы государственных учреждений культуры. В 2023 году завершится реконструкция здания областного академического театра драмы в г. Владимире. Планируется поддержка творческой деятельности, техническое оснащение, реставрация и капитальный ремонт областного театра кукол.</w:t>
      </w:r>
    </w:p>
    <w:p>
      <w:pPr>
        <w:pStyle w:val="0"/>
        <w:spacing w:before="200" w:line-rule="auto"/>
        <w:ind w:firstLine="540"/>
        <w:jc w:val="both"/>
      </w:pPr>
      <w:r>
        <w:rPr>
          <w:sz w:val="20"/>
        </w:rPr>
        <w:t xml:space="preserve">В рамках цифровизации услуг и формирования информационного пространства в сфере культуры библиотеки будут обеспечиваться комплектом оборудования для проведения онлайн-трансляций знаковых культурных мероприятий. В музеях планируется создание виртуальных выставочных проектов, снабженных цифровыми мультимедиа-гидами с применением технологии дополненной реальности.</w:t>
      </w:r>
    </w:p>
    <w:p>
      <w:pPr>
        <w:pStyle w:val="0"/>
        <w:spacing w:before="200" w:line-rule="auto"/>
        <w:ind w:firstLine="540"/>
        <w:jc w:val="both"/>
      </w:pPr>
      <w:r>
        <w:rPr>
          <w:sz w:val="20"/>
        </w:rPr>
        <w:t xml:space="preserve">Продолжится проведение музыкальных и театральных фестивалей, мероприятий, направленных на гражданско-патриотическое и военно-патриотическое воспитание граждан, укрепление гражданского единства, гармонизацию межнациональных отношений, развитие добровольчества и волонтерства.</w:t>
      </w:r>
    </w:p>
    <w:p>
      <w:pPr>
        <w:pStyle w:val="0"/>
        <w:spacing w:before="200" w:line-rule="auto"/>
        <w:ind w:firstLine="540"/>
        <w:jc w:val="both"/>
      </w:pPr>
      <w:r>
        <w:rPr>
          <w:sz w:val="20"/>
        </w:rPr>
        <w:t xml:space="preserve">Предусматривается грантовая поддержка любительских творческих коллективов, социально ориентированных некоммерческих организаций, реализация творческих проектов на селе в сфере культуры. Будет оказана поддержка 11 лучшим сельским учреждениям культуры и 9 их лучшим работникам.</w:t>
      </w:r>
    </w:p>
    <w:p>
      <w:pPr>
        <w:pStyle w:val="0"/>
        <w:spacing w:before="200" w:line-rule="auto"/>
        <w:ind w:firstLine="540"/>
        <w:jc w:val="both"/>
      </w:pPr>
      <w:r>
        <w:rPr>
          <w:sz w:val="20"/>
        </w:rPr>
        <w:t xml:space="preserve">Будут обеспечены меры социальной поддержки по оплате жилищно-коммунальных услуг работников культуры и педагогических работников образовательных организаций дополнительного образования детей в сфере культуры. Продолжится социальная поддержка работников областных и муниципальных организаций культуры при ипотечном жилищном кредитовании.</w:t>
      </w:r>
    </w:p>
    <w:p>
      <w:pPr>
        <w:pStyle w:val="0"/>
        <w:spacing w:before="200" w:line-rule="auto"/>
        <w:ind w:firstLine="540"/>
        <w:jc w:val="both"/>
      </w:pPr>
      <w:r>
        <w:rPr>
          <w:sz w:val="20"/>
        </w:rPr>
        <w:t xml:space="preserve">Будет продолжено софинансирование полномочий муниципальных образований по обеспечению повышения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 </w:t>
      </w:r>
      <w:hyperlink w:history="0" r:id="rId5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 </w:t>
      </w:r>
      <w:hyperlink w:history="0" r:id="rId56"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w:t>
      </w:r>
    </w:p>
    <w:p>
      <w:pPr>
        <w:pStyle w:val="0"/>
        <w:spacing w:before="200" w:line-rule="auto"/>
        <w:ind w:firstLine="540"/>
        <w:jc w:val="both"/>
      </w:pPr>
      <w:r>
        <w:rPr>
          <w:sz w:val="20"/>
        </w:rPr>
        <w:t xml:space="preserve">В соответствии с Указом Президента Российской Федерации от 29 января 2015 г. N 37 "О праздновании 1000-летия основания г. Суздаля Владимирской области" будет обеспечена дальнейшая подготовка к празднованию в 2024 году 1000-летия основания г. Суздаля.</w:t>
      </w:r>
    </w:p>
    <w:p>
      <w:pPr>
        <w:pStyle w:val="0"/>
        <w:spacing w:before="200" w:line-rule="auto"/>
        <w:ind w:firstLine="540"/>
        <w:jc w:val="both"/>
      </w:pPr>
      <w:r>
        <w:rPr>
          <w:sz w:val="20"/>
        </w:rPr>
        <w:t xml:space="preserve">В сфере поддержки реального сектора экономики основной акцент сделан на выполнение задач национальных проектов. Это реализация проектов в сфере дорожного и сельского хозяйства, малого и среднего бизнеса; обеспечение отдельных категорий граждан доступным и качественным жильем, формирование комфортной городской среды, повышение производительности труда, развитие цифровой экономики, экологическое благополучие населения. С учетом привлечения средств федерального бюджета, в том числе на возвратной основе, реализация данных проектов будет способствовать повышению темпов развития экономики, улучшению качества жизни населения.</w:t>
      </w:r>
    </w:p>
    <w:p>
      <w:pPr>
        <w:pStyle w:val="0"/>
        <w:spacing w:before="200" w:line-rule="auto"/>
        <w:ind w:firstLine="540"/>
        <w:jc w:val="both"/>
      </w:pPr>
      <w:r>
        <w:rPr>
          <w:sz w:val="20"/>
        </w:rPr>
        <w:t xml:space="preserve">Оказанию услуг в сфере привлечения инвестиций в экономику Владимирской области, развитию экономического и инвестиционного потенциала области, сопровождению инвестиционных проектов, реализуемых и (или) планируемых к реализации на территории области по принципу "одного окна", будет способствовать АНО "Агентство экономического развития Владимирской области".</w:t>
      </w:r>
    </w:p>
    <w:p>
      <w:pPr>
        <w:pStyle w:val="0"/>
        <w:spacing w:before="200" w:line-rule="auto"/>
        <w:ind w:firstLine="540"/>
        <w:jc w:val="both"/>
      </w:pPr>
      <w:r>
        <w:rPr>
          <w:sz w:val="20"/>
        </w:rPr>
        <w:t xml:space="preserve">Будет оказана поддержка промышленным предприятиям региона через осуществление деятельности фонда развития промышленности.</w:t>
      </w:r>
    </w:p>
    <w:p>
      <w:pPr>
        <w:pStyle w:val="0"/>
        <w:spacing w:before="200" w:line-rule="auto"/>
        <w:ind w:firstLine="540"/>
        <w:jc w:val="both"/>
      </w:pPr>
      <w:r>
        <w:rPr>
          <w:sz w:val="20"/>
        </w:rPr>
        <w:t xml:space="preserve">В 2023 - 2024 годах продолжится реализация двух инфраструктурных проектов по комплексному развитию пос. Доброград (строительство школы, дошкольных учреждений, дорог, коммунальной инфраструктуры, благоустройства), строительству источников теплоснабжения и тепловых сетей в зоне перспективной многоэтажной застройки в г. Александрове.</w:t>
      </w:r>
    </w:p>
    <w:p>
      <w:pPr>
        <w:pStyle w:val="0"/>
        <w:spacing w:before="200" w:line-rule="auto"/>
        <w:ind w:firstLine="540"/>
        <w:jc w:val="both"/>
      </w:pPr>
      <w:r>
        <w:rPr>
          <w:sz w:val="20"/>
        </w:rPr>
        <w:t xml:space="preserve">В 2024 - 2025 годах начнется реализация четырех новых инфраструктурных проектов по развитию промтехнопарка высокоточной механики и мехатроники в г. Муром (строительство производственного корпуса), капитальному ремонту и строительству транспортной инфраструктуры и объектов ЖКХ в Киржачском районе и г. Киржач, по сбалансированной застройке г. Коврова (реконструкция и ремонт дороги, сетей водоотведения, закупка троллейбусов), по обеспечению сбалансированной застройки поселка Вольгинский (реконструкция дороги, инженерных сетей и объектов ЖКХ, благоустройство набережной).</w:t>
      </w:r>
    </w:p>
    <w:p>
      <w:pPr>
        <w:pStyle w:val="0"/>
        <w:spacing w:before="200" w:line-rule="auto"/>
        <w:ind w:firstLine="540"/>
        <w:jc w:val="both"/>
      </w:pPr>
      <w:r>
        <w:rPr>
          <w:sz w:val="20"/>
        </w:rPr>
        <w:t xml:space="preserve">Высвободившиеся в 2023 - 2024 годах средства областного бюджета в результате снижения объема погашения задолженности по бюджетным кредитам, предоставленным из федерального бюджета, планируется направить на реализацию новых инвестиционных проектов в отраслях промышленности, социальной сферы, транспорта и ЖКХ, а также в объекты капитального строительства в рамках реализации национальных проектов (программ), в том числе жилищного строительства. С этой целью, в первую очередь, необходимо определение и подготовка приоритетных проектов с привлечением частных инвестиций в развитие указанных отраслей.</w:t>
      </w:r>
    </w:p>
    <w:p>
      <w:pPr>
        <w:pStyle w:val="0"/>
        <w:spacing w:before="200" w:line-rule="auto"/>
        <w:ind w:firstLine="540"/>
        <w:jc w:val="both"/>
      </w:pPr>
      <w:r>
        <w:rPr>
          <w:sz w:val="20"/>
        </w:rPr>
        <w:t xml:space="preserve">Расходы дорожного фонда Владимирской области направлены на реализацию национального проекта "Безопасные качественные дороги", в том числе увеличение доли региональных дорог, соответствующих нормативным требованиям, приведение дорог Владимирской городской агломерации в нормативное состояние, устранение мест концентрации дорожно-транспортных происшествий, увеличение доли контрактов жизненного цикла, предусматривающих последующее обеспечение содержания дорог. Планируется проведение мероприятий по повышению эффективности ямочного ремонта, способствующих улучшению качества дорожного покрытия.</w:t>
      </w:r>
    </w:p>
    <w:p>
      <w:pPr>
        <w:pStyle w:val="0"/>
        <w:spacing w:before="200" w:line-rule="auto"/>
        <w:ind w:firstLine="540"/>
        <w:jc w:val="both"/>
      </w:pPr>
      <w:r>
        <w:rPr>
          <w:sz w:val="20"/>
        </w:rPr>
        <w:t xml:space="preserve">Должен быть сохранен объем межбюджетных трансфертов, предоставляемых на приведение в нормативное состояние местных дорог. Продолжится соединение сельских населенных пунктов с дорогами с твердым покрытием.</w:t>
      </w:r>
    </w:p>
    <w:p>
      <w:pPr>
        <w:pStyle w:val="0"/>
        <w:spacing w:before="200" w:line-rule="auto"/>
        <w:ind w:firstLine="540"/>
        <w:jc w:val="both"/>
      </w:pPr>
      <w:r>
        <w:rPr>
          <w:sz w:val="20"/>
        </w:rPr>
        <w:t xml:space="preserve">В 2023 году должно быть завершено строительство автомобильной дороги "Рпенский проезд" в г. Владимире.</w:t>
      </w:r>
    </w:p>
    <w:p>
      <w:pPr>
        <w:pStyle w:val="0"/>
        <w:spacing w:before="200" w:line-rule="auto"/>
        <w:ind w:firstLine="540"/>
        <w:jc w:val="both"/>
      </w:pPr>
      <w:r>
        <w:rPr>
          <w:sz w:val="20"/>
        </w:rPr>
        <w:t xml:space="preserve">Предусматривается ввод в эксплуатацию после строительства и реконструкции автомобильных дорог Василево - Курбатово в Киржачском районе, Коржавино - Большое Юрьево - Охеево в Муромском районе и Вяткино - Павловская в Судогодском районе, а также начало строительства обходов г. Александрова и г. Киржача.</w:t>
      </w:r>
    </w:p>
    <w:p>
      <w:pPr>
        <w:pStyle w:val="0"/>
        <w:spacing w:before="200" w:line-rule="auto"/>
        <w:ind w:firstLine="540"/>
        <w:jc w:val="both"/>
      </w:pPr>
      <w:r>
        <w:rPr>
          <w:sz w:val="20"/>
        </w:rPr>
        <w:t xml:space="preserve">В сфере транспорта планируется обеспечение доступности проезда пассажиров пригородным автомобильным и железнодорожным транспортом, в том числе оказание адресной социальной поддержки отдельным категориям граждан, оплата услуг по организации транспортного обслуживания населения.</w:t>
      </w:r>
    </w:p>
    <w:p>
      <w:pPr>
        <w:pStyle w:val="0"/>
        <w:spacing w:before="200" w:line-rule="auto"/>
        <w:ind w:firstLine="540"/>
        <w:jc w:val="both"/>
      </w:pPr>
      <w:r>
        <w:rPr>
          <w:sz w:val="20"/>
        </w:rPr>
        <w:t xml:space="preserve">Планируется субсидирование строительства автомобильных газонаполнительных компрессорных станций и переоборудование автомобильной техники на использование природного газа в качестве моторного топлива.</w:t>
      </w:r>
    </w:p>
    <w:p>
      <w:pPr>
        <w:pStyle w:val="0"/>
        <w:spacing w:before="200" w:line-rule="auto"/>
        <w:ind w:firstLine="540"/>
        <w:jc w:val="both"/>
      </w:pPr>
      <w:r>
        <w:rPr>
          <w:sz w:val="20"/>
        </w:rPr>
        <w:t xml:space="preserve">В целях обеспечения продовольственной самодостаточности и сокращения зависимости сельского хозяйства от импортных закупок по всей цепочке от поля до прилавка необходимо сохранить и поддержать деловую активность в отрасли. В этих целях будет использован весь арсенал возможностей и инструментов государственной поддержки агропромышленного комплекса.</w:t>
      </w:r>
    </w:p>
    <w:p>
      <w:pPr>
        <w:pStyle w:val="0"/>
        <w:spacing w:before="200" w:line-rule="auto"/>
        <w:ind w:firstLine="540"/>
        <w:jc w:val="both"/>
      </w:pPr>
      <w:r>
        <w:rPr>
          <w:sz w:val="20"/>
        </w:rPr>
        <w:t xml:space="preserve">Для этого потребуется вовлечь в оборот неиспользуемые сельскохозяйственные земли, существенно увеличить обеспечение сельскохозяйственных товаропроизводителей современной техникой и оборудованием, повысить доступность кредитных ресурсов.</w:t>
      </w:r>
    </w:p>
    <w:p>
      <w:pPr>
        <w:pStyle w:val="0"/>
        <w:spacing w:before="200" w:line-rule="auto"/>
        <w:ind w:firstLine="540"/>
        <w:jc w:val="both"/>
      </w:pPr>
      <w:r>
        <w:rPr>
          <w:sz w:val="20"/>
        </w:rPr>
        <w:t xml:space="preserve">В отдельные приоритетные направления выделены проекты по выращиванию технической конопли и модернизация пищевой промышленности области. Перспективной нишей для нашего региона признано развитие ягодного и плодового садоводства.</w:t>
      </w:r>
    </w:p>
    <w:p>
      <w:pPr>
        <w:pStyle w:val="0"/>
        <w:spacing w:before="200" w:line-rule="auto"/>
        <w:ind w:firstLine="540"/>
        <w:jc w:val="both"/>
      </w:pPr>
      <w:r>
        <w:rPr>
          <w:sz w:val="20"/>
        </w:rPr>
        <w:t xml:space="preserve">В основу стратегического развития сельского хозяйства положено формирование условий для комфортного проживания на селе. В рамках комплексного развития сельских территорий продолжится строительство автомобильных дорог и инженерной инфраструктуры, социальных объектов и современного жилья. Дальнейшее развитие получит практика поддержки инициатив граждан по благоустройству общественных территорий.</w:t>
      </w:r>
    </w:p>
    <w:p>
      <w:pPr>
        <w:pStyle w:val="0"/>
        <w:spacing w:before="200" w:line-rule="auto"/>
        <w:ind w:firstLine="540"/>
        <w:jc w:val="both"/>
      </w:pPr>
      <w:r>
        <w:rPr>
          <w:sz w:val="20"/>
        </w:rPr>
        <w:t xml:space="preserve">Продолжится реализация мероприятий в сфере обращения с животными без владельцев. В 2023 году запланировано строительство приюта для безнадзорных животных.</w:t>
      </w:r>
    </w:p>
    <w:p>
      <w:pPr>
        <w:pStyle w:val="0"/>
        <w:spacing w:before="200" w:line-rule="auto"/>
        <w:ind w:firstLine="540"/>
        <w:jc w:val="both"/>
      </w:pPr>
      <w:r>
        <w:rPr>
          <w:sz w:val="20"/>
        </w:rPr>
        <w:t xml:space="preserve">В области развития малого и среднего бизнеса бюджетная политика будет направлена на создание благоприятных условий для ведения предпринимательской деятельности на территории региона.</w:t>
      </w:r>
    </w:p>
    <w:p>
      <w:pPr>
        <w:pStyle w:val="0"/>
        <w:spacing w:before="200" w:line-rule="auto"/>
        <w:ind w:firstLine="540"/>
        <w:jc w:val="both"/>
      </w:pPr>
      <w:r>
        <w:rPr>
          <w:sz w:val="20"/>
        </w:rPr>
        <w:t xml:space="preserve">В целях решения данной задачи в рамках национального проекта "Малое и среднее предпринимательство и поддержка индивидуальной предпринимательской инициативы" будут продолжены мероприятия, направленные на повышение доступности финансовых ресурсов и инфраструктуры поддержки для субъектов малого и среднего бизнеса и пропаганды предпринимательства (стимулирование граждан к осуществлению предпринимательской деятельности), в том числе:</w:t>
      </w:r>
    </w:p>
    <w:p>
      <w:pPr>
        <w:pStyle w:val="0"/>
        <w:spacing w:before="200" w:line-rule="auto"/>
        <w:ind w:firstLine="540"/>
        <w:jc w:val="both"/>
      </w:pPr>
      <w:r>
        <w:rPr>
          <w:sz w:val="20"/>
        </w:rPr>
        <w:t xml:space="preserve">- оказание организационной, информационной, имущественной и финансовой поддержки организациями инфраструктуры поддержки малого и среднего предпринимательства;</w:t>
      </w:r>
    </w:p>
    <w:p>
      <w:pPr>
        <w:pStyle w:val="0"/>
        <w:spacing w:before="200" w:line-rule="auto"/>
        <w:ind w:firstLine="540"/>
        <w:jc w:val="both"/>
      </w:pPr>
      <w:r>
        <w:rPr>
          <w:sz w:val="20"/>
        </w:rPr>
        <w:t xml:space="preserve">- дальнейшее развитие деятельности гарантийного фонда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w:t>
      </w:r>
    </w:p>
    <w:p>
      <w:pPr>
        <w:pStyle w:val="0"/>
        <w:spacing w:before="200" w:line-rule="auto"/>
        <w:ind w:firstLine="540"/>
        <w:jc w:val="both"/>
      </w:pPr>
      <w:r>
        <w:rPr>
          <w:sz w:val="20"/>
        </w:rPr>
        <w:t xml:space="preserve">- формирование положительного образа предпринимателя и вовлечение в предпринимательскую деятельность;</w:t>
      </w:r>
    </w:p>
    <w:p>
      <w:pPr>
        <w:pStyle w:val="0"/>
        <w:spacing w:before="200" w:line-rule="auto"/>
        <w:ind w:firstLine="540"/>
        <w:jc w:val="both"/>
      </w:pPr>
      <w:r>
        <w:rPr>
          <w:sz w:val="20"/>
        </w:rPr>
        <w:t xml:space="preserve">- содействие заключению субъектами малого и среднего предпринимательства договоров на поставку товаров, работ, услуг за пределы территории Российской Федерации.</w:t>
      </w:r>
    </w:p>
    <w:p>
      <w:pPr>
        <w:pStyle w:val="0"/>
        <w:spacing w:before="200" w:line-rule="auto"/>
        <w:ind w:firstLine="540"/>
        <w:jc w:val="both"/>
      </w:pPr>
      <w:r>
        <w:rPr>
          <w:sz w:val="20"/>
        </w:rPr>
        <w:t xml:space="preserve">Кроме того, предусматривается реализация мероприятий, не софинансируемых из федерального бюджета:</w:t>
      </w:r>
    </w:p>
    <w:p>
      <w:pPr>
        <w:pStyle w:val="0"/>
        <w:spacing w:before="200" w:line-rule="auto"/>
        <w:ind w:firstLine="540"/>
        <w:jc w:val="both"/>
      </w:pPr>
      <w:r>
        <w:rPr>
          <w:sz w:val="20"/>
        </w:rPr>
        <w:t xml:space="preserve">- субсидия ГАУ "Бизнес-инкубатор" на оказание субъектам малого и среднего предпринимательства имущественной, информационной, консультационной поддержки;</w:t>
      </w:r>
    </w:p>
    <w:p>
      <w:pPr>
        <w:pStyle w:val="0"/>
        <w:spacing w:before="200" w:line-rule="auto"/>
        <w:ind w:firstLine="540"/>
        <w:jc w:val="both"/>
      </w:pPr>
      <w:r>
        <w:rPr>
          <w:sz w:val="20"/>
        </w:rPr>
        <w:t xml:space="preserve">- субсидирование "Центра поддержки экспорта Владимирской области" для оказания услуг субъектам малого и среднего предпринимательства;</w:t>
      </w:r>
    </w:p>
    <w:p>
      <w:pPr>
        <w:pStyle w:val="0"/>
        <w:spacing w:before="200" w:line-rule="auto"/>
        <w:ind w:firstLine="540"/>
        <w:jc w:val="both"/>
      </w:pPr>
      <w:r>
        <w:rPr>
          <w:sz w:val="20"/>
        </w:rPr>
        <w:t xml:space="preserve">- субсидирование Центра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p>
      <w:pPr>
        <w:pStyle w:val="0"/>
        <w:spacing w:before="200" w:line-rule="auto"/>
        <w:ind w:firstLine="540"/>
        <w:jc w:val="both"/>
      </w:pPr>
      <w:r>
        <w:rPr>
          <w:sz w:val="20"/>
        </w:rPr>
        <w:t xml:space="preserve">- субсидия монопрофильным муниципальным образованиям для поддержки социального предпринимательства.</w:t>
      </w:r>
    </w:p>
    <w:p>
      <w:pPr>
        <w:pStyle w:val="0"/>
        <w:spacing w:before="200" w:line-rule="auto"/>
        <w:ind w:firstLine="540"/>
        <w:jc w:val="both"/>
      </w:pPr>
      <w:r>
        <w:rPr>
          <w:sz w:val="20"/>
        </w:rPr>
        <w:t xml:space="preserve">В сфере занятости населения наряду с социальной поддержкой безработных граждан и трудоустройством граждан, ищущих работу, будут осуществляться меры активной политики занятости (профессиональная ориентация граждан, профессиональное обучение и дополнительное профессиональное образование, организация проведения оплачиваемых общественных работ, временное трудоустройство несовершеннолетних граждан в возрасте от 14 до 18 лет и безработных граждан, содействие самозанятости безработных граждан), способствующие снижению уровня безработицы.</w:t>
      </w:r>
    </w:p>
    <w:p>
      <w:pPr>
        <w:pStyle w:val="0"/>
        <w:spacing w:before="200" w:line-rule="auto"/>
        <w:ind w:firstLine="540"/>
        <w:jc w:val="both"/>
      </w:pPr>
      <w:r>
        <w:rPr>
          <w:sz w:val="20"/>
        </w:rPr>
        <w:t xml:space="preserve">В целях содействия занятости инвалидов продолжится реализация мероприятий, способствующих повышению заинтересованности работодателей в оснащении рабочих мест.</w:t>
      </w:r>
    </w:p>
    <w:p>
      <w:pPr>
        <w:pStyle w:val="0"/>
        <w:spacing w:before="200" w:line-rule="auto"/>
        <w:ind w:firstLine="540"/>
        <w:jc w:val="both"/>
      </w:pPr>
      <w:r>
        <w:rPr>
          <w:sz w:val="20"/>
        </w:rPr>
        <w:t xml:space="preserve">Продолжится обеспечение занятости молодежи. Планируется проведение мероприятий по профессиональной ориентации и организация стажировок для выпускников профессиональных образовательных учреждений.</w:t>
      </w:r>
    </w:p>
    <w:p>
      <w:pPr>
        <w:pStyle w:val="0"/>
        <w:spacing w:before="200" w:line-rule="auto"/>
        <w:ind w:firstLine="540"/>
        <w:jc w:val="both"/>
      </w:pPr>
      <w:r>
        <w:rPr>
          <w:sz w:val="20"/>
        </w:rPr>
        <w:t xml:space="preserve">С 2023 года планируется участие региона в "пилотном" проекте по комплексной модернизации сети центров занятости населения с привлечением софинансирования из федерального бюджета. Предусматривается реализация мероприятий по оптимизации центров занятости населения с повышением уровня оплаты труда работников до уровня среднемесячного дохода от трудовой деятельности во Владимирской области, а также оснащение и приведение к единому фирменному стилю "Работа России" зданий и помещений центров занятости населения на территории области.</w:t>
      </w:r>
    </w:p>
    <w:p>
      <w:pPr>
        <w:pStyle w:val="0"/>
        <w:spacing w:before="200" w:line-rule="auto"/>
        <w:ind w:firstLine="540"/>
        <w:jc w:val="both"/>
      </w:pPr>
      <w:r>
        <w:rPr>
          <w:sz w:val="20"/>
        </w:rPr>
        <w:t xml:space="preserve">Будет оказано содействие добровольному переселению в область соотечественников и членов их семей, проживающих за рубежом.</w:t>
      </w:r>
    </w:p>
    <w:p>
      <w:pPr>
        <w:pStyle w:val="0"/>
        <w:spacing w:before="200" w:line-rule="auto"/>
        <w:ind w:firstLine="540"/>
        <w:jc w:val="both"/>
      </w:pPr>
      <w:r>
        <w:rPr>
          <w:sz w:val="20"/>
        </w:rPr>
        <w:t xml:space="preserve">В сфере туризма приоритетным направлением является формирование туристского комплекса, интегрированного в экономику региона и удовлетворяющего потребности жителей и гостей Владимирской области в отдыхе.</w:t>
      </w:r>
    </w:p>
    <w:p>
      <w:pPr>
        <w:pStyle w:val="0"/>
        <w:spacing w:before="200" w:line-rule="auto"/>
        <w:ind w:firstLine="540"/>
        <w:jc w:val="both"/>
      </w:pPr>
      <w:r>
        <w:rPr>
          <w:sz w:val="20"/>
        </w:rPr>
        <w:t xml:space="preserve">В связи с этим будет осуществлена разработка мероприятий, направленных на формирование конкурентных региональных туристских продуктов, развитие существующих и создание новых туристских маршрутов, создание, развитие и продвижение туристских кластеров в муниципальных образованиях области.</w:t>
      </w:r>
    </w:p>
    <w:p>
      <w:pPr>
        <w:pStyle w:val="0"/>
        <w:spacing w:before="200" w:line-rule="auto"/>
        <w:ind w:firstLine="540"/>
        <w:jc w:val="both"/>
      </w:pPr>
      <w:r>
        <w:rPr>
          <w:sz w:val="20"/>
        </w:rPr>
        <w:t xml:space="preserve">Автономной некоммерческой организацией "Туристический информационный центр" и его филиалами в г. Суздале и г. Гороховце планируется осуществлять комплекс мер, направленных на развитие и продвижение туристического потенциала Владимирской области, в части информационного и консультационного обеспечения по вопросам туристической деятельности, установку знаков туристической навигации, продвижение единого туристического бренда области.</w:t>
      </w:r>
    </w:p>
    <w:p>
      <w:pPr>
        <w:pStyle w:val="0"/>
        <w:spacing w:before="200" w:line-rule="auto"/>
        <w:ind w:firstLine="540"/>
        <w:jc w:val="both"/>
      </w:pPr>
      <w:r>
        <w:rPr>
          <w:sz w:val="20"/>
        </w:rPr>
        <w:t xml:space="preserve">В целях реализации государственной политики поддержки и развития внутреннего и въездного туризма будет продолжено оказание финансовой помощи муниципальным образованиям на исполнение мероприятий по созданию благоприятных условий по развитию туризма.</w:t>
      </w:r>
    </w:p>
    <w:p>
      <w:pPr>
        <w:pStyle w:val="0"/>
        <w:spacing w:before="200" w:line-rule="auto"/>
        <w:ind w:firstLine="540"/>
        <w:jc w:val="both"/>
      </w:pPr>
      <w:r>
        <w:rPr>
          <w:sz w:val="20"/>
        </w:rPr>
        <w:t xml:space="preserve">Для дальнейшей реализации федерального проекта "Развитие туристической инфраструктуры" национального проекта "Туризм и индустрия гостеприимства" необходимо принять участие в федеральном конкурсном отборе субъектов Российской Федерации по привлечению средств федерального бюджета на развитие туристической инфраструктуры и создание модульных некапитальных средств размещения.</w:t>
      </w:r>
    </w:p>
    <w:p>
      <w:pPr>
        <w:pStyle w:val="0"/>
        <w:spacing w:before="200" w:line-rule="auto"/>
        <w:ind w:firstLine="540"/>
        <w:jc w:val="both"/>
      </w:pPr>
      <w:r>
        <w:rPr>
          <w:sz w:val="20"/>
        </w:rPr>
        <w:t xml:space="preserve">Бюджетная политика в области жилищно-коммунального хозяйства направляется на реализацию мероприятий национального проекта "Жилье и городская среда" по ликвидации аварийного жилья, улучшению качества питьевой воды, повышению комфортности городского пространства.</w:t>
      </w:r>
    </w:p>
    <w:p>
      <w:pPr>
        <w:pStyle w:val="0"/>
        <w:spacing w:before="200" w:line-rule="auto"/>
        <w:ind w:firstLine="540"/>
        <w:jc w:val="both"/>
      </w:pPr>
      <w:r>
        <w:rPr>
          <w:sz w:val="20"/>
        </w:rPr>
        <w:t xml:space="preserve">Планируется досрочное завершение переселения граждан из непригодного для проживания жилищного фонда, признанного таковым после 1 января 2017 года, и начало следующего этапа на условиях, определенных Государственной корпорацией - Фондом содействия реформированию жилищно-коммунального хозяйства.</w:t>
      </w:r>
    </w:p>
    <w:p>
      <w:pPr>
        <w:pStyle w:val="0"/>
        <w:spacing w:before="200" w:line-rule="auto"/>
        <w:ind w:firstLine="540"/>
        <w:jc w:val="both"/>
      </w:pPr>
      <w:r>
        <w:rPr>
          <w:sz w:val="20"/>
        </w:rPr>
        <w:t xml:space="preserve">Строительство жилья и предоставление выплат на приобретение жилых помещений, в том числе на первоначальный ипотечный взнос, будет осуществляться для нуждающихся в улучшении жилищных условий малоимущих граждан, детей-сирот и детей, оставшихся без попечения родителей, молодых семьей, ветеранов, ветеранов войны и боевых действий, инвалидов, семей с детьми-инвалидами, многодетных семей, работников бюджетной сферы, молодых специалистов и граждан, проживающих на селе. Будет оказываться поддержка обманутым дольщикам по защите их прав.</w:t>
      </w:r>
    </w:p>
    <w:p>
      <w:pPr>
        <w:pStyle w:val="0"/>
        <w:spacing w:before="200" w:line-rule="auto"/>
        <w:ind w:firstLine="540"/>
        <w:jc w:val="both"/>
      </w:pPr>
      <w:r>
        <w:rPr>
          <w:sz w:val="20"/>
        </w:rPr>
        <w:t xml:space="preserve">В целях выполнения </w:t>
      </w:r>
      <w:hyperlink w:history="0" r:id="rId57" w:tooltip="Указ Президента РФ от 07.05.2012 N 600 &quot;О мерах по обеспечению граждан Российской Федерации доступным и комфортным жильем и повышению качества жилищно-коммунальных услуг&quot; {КонсультантПлюс}">
        <w:r>
          <w:rPr>
            <w:sz w:val="20"/>
            <w:color w:val="0000ff"/>
          </w:rPr>
          <w:t xml:space="preserve">Указа</w:t>
        </w:r>
      </w:hyperlink>
      <w:r>
        <w:rPr>
          <w:sz w:val="20"/>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земельные участки, бесплатно предоставленные семьям, имеющим трех и более детей, будут обустраиваться коммунальной и транспортной инфраструктурой. Кроме того, многодетным семьям дополнительно предусматривается предоставление социальных выплат на приобретение и строительство жилья в размере до 70%.</w:t>
      </w:r>
    </w:p>
    <w:p>
      <w:pPr>
        <w:pStyle w:val="0"/>
        <w:spacing w:before="200" w:line-rule="auto"/>
        <w:ind w:firstLine="540"/>
        <w:jc w:val="both"/>
      </w:pPr>
      <w:r>
        <w:rPr>
          <w:sz w:val="20"/>
        </w:rPr>
        <w:t xml:space="preserve">Выполнение региональной программы капитального ремонта общего имущества многоквартирных домов, утвержденной до 2043 года, будет осуществляться за счет платежей собственников жилья, обеспечение деятельности регионального оператора - некоммерческой организации "Фонд капитального ремонта многоквартирных домов" - за счет бюджетных ассигнований.</w:t>
      </w:r>
    </w:p>
    <w:p>
      <w:pPr>
        <w:pStyle w:val="0"/>
        <w:spacing w:before="200" w:line-rule="auto"/>
        <w:ind w:firstLine="540"/>
        <w:jc w:val="both"/>
      </w:pPr>
      <w:r>
        <w:rPr>
          <w:sz w:val="20"/>
        </w:rPr>
        <w:t xml:space="preserve">Повышение качества питьевой воды в населенных пунктах будет обеспечиваться рамках федерального проекта "Чистая вода". За 2023 - 2025 годы с привлечением средств федерального бюджета планируется осуществить строительство (реконструкцию) 12 объектов.</w:t>
      </w:r>
    </w:p>
    <w:p>
      <w:pPr>
        <w:pStyle w:val="0"/>
        <w:spacing w:before="200" w:line-rule="auto"/>
        <w:ind w:firstLine="540"/>
        <w:jc w:val="both"/>
      </w:pPr>
      <w:r>
        <w:rPr>
          <w:sz w:val="20"/>
        </w:rPr>
        <w:t xml:space="preserve">В целях приведения коммунальной инфраструктуры в соответствие со стандартами качества, обеспечивающими комфортные условия проживания для населения, предусматривается строительство, реконструкция и модернизация котельных, сетей теплоснабжения, водоснабжения и водоотведения в муниципальных образованиях области.</w:t>
      </w:r>
    </w:p>
    <w:p>
      <w:pPr>
        <w:pStyle w:val="0"/>
        <w:spacing w:before="200" w:line-rule="auto"/>
        <w:ind w:firstLine="540"/>
        <w:jc w:val="both"/>
      </w:pPr>
      <w:r>
        <w:rPr>
          <w:sz w:val="20"/>
        </w:rPr>
        <w:t xml:space="preserve">Будут осуществляться мероприятия по энергосбережению с реконструкцией энергообъектов, строительством котельных и модернизацией уличного освещения с применением современных энергосберегающих технологий.</w:t>
      </w:r>
    </w:p>
    <w:p>
      <w:pPr>
        <w:pStyle w:val="0"/>
        <w:spacing w:before="200" w:line-rule="auto"/>
        <w:ind w:firstLine="540"/>
        <w:jc w:val="both"/>
      </w:pPr>
      <w:r>
        <w:rPr>
          <w:sz w:val="20"/>
        </w:rPr>
        <w:t xml:space="preserve">В соответствии с постановлениями Правительства Российской Федерации от 2 февраля 2022 г. </w:t>
      </w:r>
      <w:hyperlink w:history="0" r:id="rId58" w:tooltip="Постановление Правительства РФ от 02.02.2022 N 87 (ред. от 06.10.2022) &quot;О предоставлении государственной корпорацией - Фондом содействия реформированию жилищно-коммунального хозяйства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 ------------ Недействующая редакция {КонсультантПлюс}">
        <w:r>
          <w:rPr>
            <w:sz w:val="20"/>
            <w:color w:val="0000ff"/>
          </w:rPr>
          <w:t xml:space="preserve">N 87</w:t>
        </w:r>
      </w:hyperlink>
      <w:r>
        <w:rPr>
          <w:sz w:val="20"/>
        </w:rPr>
        <w:t xml:space="preserve"> "О предоставлении государственной корпорацией - Фондом содействия реформированию жилищно-коммунального хозяйства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Правительственной комиссии по региональному развитию Российской Федерации" и от 31 декабря 2020 г. </w:t>
      </w:r>
      <w:hyperlink w:history="0" r:id="rId59" w:tooltip="Постановление Правительства РФ от 31.12.2020 N 2459 (ред. от 22.08.2022) &quot;Об утверждении Правил финансирования проектов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quot; {КонсультантПлюс}">
        <w:r>
          <w:rPr>
            <w:sz w:val="20"/>
            <w:color w:val="0000ff"/>
          </w:rPr>
          <w:t xml:space="preserve">N 2459</w:t>
        </w:r>
      </w:hyperlink>
      <w:r>
        <w:rPr>
          <w:sz w:val="20"/>
        </w:rPr>
        <w:t xml:space="preserve"> "Об утверждении Правил финансирования строительства (реконструкции) объектов инфраструктуры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 планируется реализация новых инвестиционных проектов по модернизации теплосетевого комплекса города Гусь-Хрустальный и модернизации теплоэнергетического комплекса Кольчугинского района с использованием средств (займов, облигаций) Государственной корпорации - Фонда содействия реформированию жилищно-коммунального хозяйства и акционерного общества "ДОМ.РФ".</w:t>
      </w:r>
    </w:p>
    <w:p>
      <w:pPr>
        <w:pStyle w:val="0"/>
        <w:spacing w:before="200" w:line-rule="auto"/>
        <w:ind w:firstLine="540"/>
        <w:jc w:val="both"/>
      </w:pPr>
      <w:r>
        <w:rPr>
          <w:sz w:val="20"/>
        </w:rPr>
        <w:t xml:space="preserve">С 2022 года предусматриваются средства на программу газификации и догазификации населенных пунктов, в том числе на компенсацию части стоимости работ, связанных с подготовкой внутридомового оборудования к приему газа, и по замене газового оборудования с истекшим сроком службы для ветеранов Великой Отечественной войны, инвалидов и семей, имеющих детей-инвалидов, пенсионеров, многодетных и малоимущих семей.</w:t>
      </w:r>
    </w:p>
    <w:p>
      <w:pPr>
        <w:pStyle w:val="0"/>
        <w:spacing w:before="200" w:line-rule="auto"/>
        <w:ind w:firstLine="540"/>
        <w:jc w:val="both"/>
      </w:pPr>
      <w:r>
        <w:rPr>
          <w:sz w:val="20"/>
        </w:rPr>
        <w:t xml:space="preserve">Обустройство дворовых территорий, парков, скверов, площадей в целях создания комфортной городской среды будет осуществляться по проектам, получившим наибольшую оценку от граждан, и обеспечит повышение индекса качества городской среды, увеличение числа городов с благоприятной средой.</w:t>
      </w:r>
    </w:p>
    <w:p>
      <w:pPr>
        <w:pStyle w:val="0"/>
        <w:spacing w:before="200" w:line-rule="auto"/>
        <w:ind w:firstLine="540"/>
        <w:jc w:val="both"/>
      </w:pPr>
      <w:r>
        <w:rPr>
          <w:sz w:val="20"/>
        </w:rPr>
        <w:t xml:space="preserve">В целях решения задач в области охраны природы будут предусмотрены расходы на развитие комплексного мониторинга окружающей среды и государственного экологического надзора, на экологическое оздоровление водных объектов и сохранение особо охраняемых природных территорий регионального значения, на обеспечение безопасности гидротехнических сооружений, на мероприятия в сфере обращения с отходами, а также на формирование основ экологической культуры населения области. Конкретные природоохранные мероприятия и объекты будут определены после отбора направленных регионом в Минприроды России бюджетных заявок.</w:t>
      </w:r>
    </w:p>
    <w:p>
      <w:pPr>
        <w:pStyle w:val="0"/>
        <w:spacing w:before="200" w:line-rule="auto"/>
        <w:ind w:firstLine="540"/>
        <w:jc w:val="both"/>
      </w:pPr>
      <w:r>
        <w:rPr>
          <w:sz w:val="20"/>
        </w:rPr>
        <w:t xml:space="preserve">В области государственного управления бюджетная политика должна быть направлена на реализацию следующих основных задач:</w:t>
      </w:r>
    </w:p>
    <w:p>
      <w:pPr>
        <w:pStyle w:val="0"/>
        <w:spacing w:before="200" w:line-rule="auto"/>
        <w:ind w:firstLine="540"/>
        <w:jc w:val="both"/>
      </w:pPr>
      <w:r>
        <w:rPr>
          <w:sz w:val="20"/>
        </w:rPr>
        <w:t xml:space="preserve">- обеспечение выполнения установленного Правительством Российской Федерации норматива расходов на содержание органов государственной власти области. С этой целью следует исключить принятие решений, приводящих к увеличению расходов областного бюджета на обеспечение деятельности органов государственной власти. Не допускать увеличения штатной численности государственных гражданских служащих и работников органов государственной власти области, государственных органов. Дополнительно возложенные функции и полномочия необходимо исполнять на основе перераспределения штатной численности государственных гражданских служащих и работников между органами государственной власти области, а также с учетом численности автономных некоммерческих организаций, созданных органами исполнительной власти области;</w:t>
      </w:r>
    </w:p>
    <w:p>
      <w:pPr>
        <w:pStyle w:val="0"/>
        <w:spacing w:before="200" w:line-rule="auto"/>
        <w:ind w:firstLine="540"/>
        <w:jc w:val="both"/>
      </w:pPr>
      <w:r>
        <w:rPr>
          <w:sz w:val="20"/>
        </w:rPr>
        <w:t xml:space="preserve">- оптимизация деятельности органов государственной власти области, исключение дублирования функций и полномочий, централизация обеспечивающих функций;</w:t>
      </w:r>
    </w:p>
    <w:p>
      <w:pPr>
        <w:pStyle w:val="0"/>
        <w:spacing w:before="200" w:line-rule="auto"/>
        <w:ind w:firstLine="540"/>
        <w:jc w:val="both"/>
      </w:pPr>
      <w:r>
        <w:rPr>
          <w:sz w:val="20"/>
        </w:rPr>
        <w:t xml:space="preserve">- повышение эффективности деятельности органов государственной власти области путем внедрения современных технологий на базе цифровизации возложенных на них функций;</w:t>
      </w:r>
    </w:p>
    <w:p>
      <w:pPr>
        <w:pStyle w:val="0"/>
        <w:spacing w:before="200" w:line-rule="auto"/>
        <w:ind w:firstLine="540"/>
        <w:jc w:val="both"/>
      </w:pPr>
      <w:r>
        <w:rPr>
          <w:sz w:val="20"/>
        </w:rPr>
        <w:t xml:space="preserve">- ограничение использования средств вакантного фонда на премирование работников выше 15%.</w:t>
      </w:r>
    </w:p>
    <w:p>
      <w:pPr>
        <w:pStyle w:val="0"/>
        <w:spacing w:before="200" w:line-rule="auto"/>
        <w:ind w:firstLine="540"/>
        <w:jc w:val="both"/>
      </w:pPr>
      <w:r>
        <w:rPr>
          <w:sz w:val="20"/>
        </w:rPr>
        <w:t xml:space="preserve">Предоставление государственных и муниципальных услуг населению области будет осуществляться на областном уровне ГБУ "МФЦ Владимирской области" и его филиалами на территории области.</w:t>
      </w:r>
    </w:p>
    <w:p>
      <w:pPr>
        <w:pStyle w:val="0"/>
        <w:spacing w:before="200" w:line-rule="auto"/>
        <w:ind w:firstLine="540"/>
        <w:jc w:val="both"/>
      </w:pPr>
      <w:r>
        <w:rPr>
          <w:sz w:val="20"/>
        </w:rPr>
        <w:t xml:space="preserve">Предполагается уменьшение численности государственных гражданских служащих с 01.01.2025, введенной на период до 2024 года для выполнения задач по организации проектной деятельности и мониторинга реализации национальных проектов в соответствии с поручением Председателя Правительства Российской Федерации от 21 ноября 2019 г. N ДМ-П6-10163.</w:t>
      </w:r>
    </w:p>
    <w:p>
      <w:pPr>
        <w:pStyle w:val="0"/>
        <w:spacing w:before="200" w:line-rule="auto"/>
        <w:ind w:firstLine="540"/>
        <w:jc w:val="both"/>
      </w:pPr>
      <w:r>
        <w:rPr>
          <w:sz w:val="20"/>
        </w:rPr>
        <w:t xml:space="preserve">Продолжится материально-техническое обеспечение аппарата мировых судей штатной численностью 216 единиц на 75 участках мировых судей.</w:t>
      </w:r>
    </w:p>
    <w:p>
      <w:pPr>
        <w:pStyle w:val="0"/>
        <w:spacing w:before="200" w:line-rule="auto"/>
        <w:ind w:firstLine="540"/>
        <w:jc w:val="both"/>
      </w:pPr>
      <w:r>
        <w:rPr>
          <w:sz w:val="20"/>
        </w:rPr>
        <w:t xml:space="preserve">В целях предупреждения чрезвычайных ситуаций природного и техногенного характера, борьбы с ландшафтными пожарами будет сформирован областной резервный фонд - фонд чрезвычайных ситуаций. Должна быть обеспечена работа системы вызовов экстренных оперативных служб по номеру "112", систем оповещения населения (ТАСЦО, ОКСИОН, КСЭОН), аварийно-спасательных подразделений.</w:t>
      </w:r>
    </w:p>
    <w:p>
      <w:pPr>
        <w:pStyle w:val="0"/>
        <w:spacing w:before="200" w:line-rule="auto"/>
        <w:ind w:firstLine="540"/>
        <w:jc w:val="both"/>
      </w:pPr>
      <w:r>
        <w:rPr>
          <w:sz w:val="20"/>
        </w:rPr>
        <w:t xml:space="preserve">В области капитального строительства бюджетная политика должна быть направлена на приоритетное обеспечение финансированием капитальных вложений в объекты, реализуемые в рамках национальных проектов, объектов, находящихся в стадии завершения, значимых объектов для социально-экономического развития региона, а также на расширение инвестиционных планов и программ с новыми возможностями по развитию инфраструктуры.</w:t>
      </w:r>
    </w:p>
    <w:p>
      <w:pPr>
        <w:pStyle w:val="0"/>
        <w:spacing w:before="200" w:line-rule="auto"/>
        <w:ind w:firstLine="540"/>
        <w:jc w:val="both"/>
      </w:pPr>
      <w:r>
        <w:rPr>
          <w:sz w:val="20"/>
        </w:rPr>
        <w:t xml:space="preserve">Применение новых механизмов в виде бюджетных кредитов на финансовое обеспечение реализации инфраструктурных проектов, инфраструктурных облигаций специализированных обществ проектного финансирования, создания (реконструкции) объектов на основании концессионных соглашений будет способствовать увеличению инвестиционных ресурсов.</w:t>
      </w:r>
    </w:p>
    <w:p>
      <w:pPr>
        <w:pStyle w:val="0"/>
        <w:spacing w:before="200" w:line-rule="auto"/>
        <w:ind w:firstLine="540"/>
        <w:jc w:val="both"/>
      </w:pPr>
      <w:r>
        <w:rPr>
          <w:sz w:val="20"/>
        </w:rPr>
        <w:t xml:space="preserve">Планирование бюджетных ассигнований на осуществление капитальных вложений должно осуществляться на основании нормативных правовых актов области по формированию областной адресной инвестиционной программы.</w:t>
      </w:r>
    </w:p>
    <w:p>
      <w:pPr>
        <w:pStyle w:val="0"/>
        <w:spacing w:before="200" w:line-rule="auto"/>
        <w:ind w:firstLine="540"/>
        <w:jc w:val="both"/>
      </w:pPr>
      <w:r>
        <w:rPr>
          <w:sz w:val="20"/>
        </w:rPr>
        <w:t xml:space="preserve">Решения об инвестиционных вложениях должны приниматься при наличии на 1 августа текущего года обоснований бюджетных инвестиций, разработанной проектно-сметной документации, положительного заключения государственной экспертизы, принятых решений о выделении земельных участков под строительство и заключения Департамента архитектуры и строительства области о полноте и актуальности проектно-сметной документации по каждому объекту на трехлетний период.</w:t>
      </w:r>
    </w:p>
    <w:p>
      <w:pPr>
        <w:pStyle w:val="0"/>
        <w:spacing w:before="200" w:line-rule="auto"/>
        <w:ind w:firstLine="540"/>
        <w:jc w:val="both"/>
      </w:pPr>
      <w:r>
        <w:rPr>
          <w:sz w:val="20"/>
        </w:rPr>
        <w:t xml:space="preserve">Планирование расходов на капитальный ремонт объектов областной собственности должно осуществляться по утвержденной проектной документации с положительным заключением государственной экспертизы (при необходимости) по состоянию на 1 августа текущего года.</w:t>
      </w:r>
    </w:p>
    <w:p>
      <w:pPr>
        <w:pStyle w:val="0"/>
        <w:jc w:val="both"/>
      </w:pPr>
      <w:r>
        <w:rPr>
          <w:sz w:val="20"/>
        </w:rPr>
      </w:r>
    </w:p>
    <w:p>
      <w:pPr>
        <w:pStyle w:val="2"/>
        <w:outlineLvl w:val="1"/>
        <w:jc w:val="center"/>
      </w:pPr>
      <w:r>
        <w:rPr>
          <w:sz w:val="20"/>
        </w:rPr>
        <w:t xml:space="preserve">4. Основные подходы к формированию межбюджетных отношений</w:t>
      </w:r>
    </w:p>
    <w:p>
      <w:pPr>
        <w:pStyle w:val="2"/>
        <w:jc w:val="center"/>
      </w:pPr>
      <w:r>
        <w:rPr>
          <w:sz w:val="20"/>
        </w:rPr>
        <w:t xml:space="preserve">с муниципальными образованиями области</w:t>
      </w:r>
    </w:p>
    <w:p>
      <w:pPr>
        <w:pStyle w:val="0"/>
        <w:jc w:val="both"/>
      </w:pPr>
      <w:r>
        <w:rPr>
          <w:sz w:val="20"/>
        </w:rPr>
      </w:r>
    </w:p>
    <w:p>
      <w:pPr>
        <w:pStyle w:val="0"/>
        <w:ind w:firstLine="540"/>
        <w:jc w:val="both"/>
      </w:pPr>
      <w:r>
        <w:rPr>
          <w:sz w:val="20"/>
        </w:rPr>
        <w:t xml:space="preserve">Важнейший приоритет в расходах областного бюджета - финансовая поддержка муниципальных образований. Межбюджетные отношения на 2023 - 2025 годы будут строиться со 128 муниципальными образованиями, включая вновь образованное городское поселение поселок Доброград.</w:t>
      </w:r>
    </w:p>
    <w:p>
      <w:pPr>
        <w:pStyle w:val="0"/>
        <w:spacing w:before="200" w:line-rule="auto"/>
        <w:ind w:firstLine="540"/>
        <w:jc w:val="both"/>
      </w:pPr>
      <w:r>
        <w:rPr>
          <w:sz w:val="20"/>
        </w:rPr>
        <w:t xml:space="preserve">По отчету за 2021 год доля расходов областного бюджета на предоставление финансовой помощи местным бюджетам составила 35% всех расходов областного бюджета. При формировании проекта областного бюджета на 2023 - 2025 годы необходимо обеспечить сохранение данного уровня поддержки.</w:t>
      </w:r>
    </w:p>
    <w:p>
      <w:pPr>
        <w:pStyle w:val="0"/>
        <w:spacing w:before="200" w:line-rule="auto"/>
        <w:ind w:firstLine="540"/>
        <w:jc w:val="both"/>
      </w:pPr>
      <w:r>
        <w:rPr>
          <w:sz w:val="20"/>
        </w:rPr>
        <w:t xml:space="preserve">В среднесрочной перспективе предстоит повысить уровень финансовой самостоятельности муниципальных образований. С этой целью следует увеличить долю нецелевой финансовой помощи местным бюджетам в виде дотаций с 19% в 2021 году до 24% в 2025 году.</w:t>
      </w:r>
    </w:p>
    <w:p>
      <w:pPr>
        <w:pStyle w:val="0"/>
        <w:spacing w:before="200" w:line-rule="auto"/>
        <w:ind w:firstLine="540"/>
        <w:jc w:val="both"/>
      </w:pPr>
      <w:r>
        <w:rPr>
          <w:sz w:val="20"/>
        </w:rPr>
        <w:t xml:space="preserve">В целях стимулирования роста доходного потенциала муниципальных образований области, повышения финансовой самостоятельности местных бюджетов с 2020 года установлены единые нормативы отчислений от налога, взимаемого по упрощенной системе налогообложения, в бюджеты городских округов и муниципальных районов в размере 10% и 25% соответственно; от транспортного налога с физических лиц в бюджеты городских округов в размере 50%, городских поселений - 50%, муниципальных районов от сельских поселений - 50%; от платы за негативное воздействие на окружающую среду в бюджеты городских округов и муниципальных районов - 100%.</w:t>
      </w:r>
    </w:p>
    <w:p>
      <w:pPr>
        <w:pStyle w:val="0"/>
        <w:spacing w:before="200" w:line-rule="auto"/>
        <w:ind w:firstLine="540"/>
        <w:jc w:val="both"/>
      </w:pPr>
      <w:r>
        <w:rPr>
          <w:sz w:val="20"/>
        </w:rPr>
        <w:t xml:space="preserve">В связи с отменой с 1 января 2021 года системы налогообложения в виде единого налога на вмененный доход для отдельных видов деятельности в бюджеты городских округов и муниципальных районов установлены дифференцированные нормативы отчислений от налога, взимаемого по упрощенной системе налогообложения.</w:t>
      </w:r>
    </w:p>
    <w:p>
      <w:pPr>
        <w:pStyle w:val="0"/>
        <w:spacing w:before="200" w:line-rule="auto"/>
        <w:ind w:firstLine="540"/>
        <w:jc w:val="both"/>
      </w:pPr>
      <w:r>
        <w:rPr>
          <w:sz w:val="20"/>
        </w:rPr>
        <w:t xml:space="preserve">Положительно зарекомендовала себя практика замены дотации на выравнивание бюджетной обеспеченности муниципальных районов (городских округов) полностью или частично дополнительными нормативами отчислений в бюджеты соответствующих муниципальных районов (городских округов) от налога на доходы физических лиц, подлежащего зачислению в областной бюджет.</w:t>
      </w:r>
    </w:p>
    <w:p>
      <w:pPr>
        <w:pStyle w:val="0"/>
        <w:spacing w:before="200" w:line-rule="auto"/>
        <w:ind w:firstLine="540"/>
        <w:jc w:val="both"/>
      </w:pPr>
      <w:r>
        <w:rPr>
          <w:sz w:val="20"/>
        </w:rPr>
        <w:t xml:space="preserve">Задачи по содействию сбалансированному исполнению местных бюджетов должны быть реализованы за счет:</w:t>
      </w:r>
    </w:p>
    <w:p>
      <w:pPr>
        <w:pStyle w:val="0"/>
        <w:spacing w:before="200" w:line-rule="auto"/>
        <w:ind w:firstLine="540"/>
        <w:jc w:val="both"/>
      </w:pPr>
      <w:r>
        <w:rPr>
          <w:sz w:val="20"/>
        </w:rPr>
        <w:t xml:space="preserve">- выравнивания муниципальных районов и городских округов по уровню бюджетной обеспеченности с сохранением действующих подходов к распределению дотаций на выравнивание бюджетной обеспеченности;</w:t>
      </w:r>
    </w:p>
    <w:p>
      <w:pPr>
        <w:pStyle w:val="0"/>
        <w:spacing w:before="200" w:line-rule="auto"/>
        <w:ind w:firstLine="540"/>
        <w:jc w:val="both"/>
      </w:pPr>
      <w:r>
        <w:rPr>
          <w:sz w:val="20"/>
        </w:rPr>
        <w:t xml:space="preserve">- оказания нецелевой финансовой поддержки бюджетам муниципальных образований в течение текущего финансового года в случае возникновения рисков необеспечения принятых расходных обязательств муниципальных образований.</w:t>
      </w:r>
    </w:p>
    <w:p>
      <w:pPr>
        <w:pStyle w:val="0"/>
        <w:spacing w:before="200" w:line-rule="auto"/>
        <w:ind w:firstLine="540"/>
        <w:jc w:val="both"/>
      </w:pPr>
      <w:r>
        <w:rPr>
          <w:sz w:val="20"/>
        </w:rPr>
        <w:t xml:space="preserve">Выделение субсидий из областного бюджета будет осуществляться в рамках государственных программ области на основании перечня приоритетных направлений софинансирования расходных обязательств муниципальных образований.</w:t>
      </w:r>
    </w:p>
    <w:p>
      <w:pPr>
        <w:pStyle w:val="0"/>
        <w:spacing w:before="200" w:line-rule="auto"/>
        <w:ind w:firstLine="540"/>
        <w:jc w:val="both"/>
      </w:pPr>
      <w:r>
        <w:rPr>
          <w:sz w:val="20"/>
        </w:rPr>
        <w:t xml:space="preserve">В среднесрочной перспективе, в целях повышения уровня финансовой самостоятельности муниципальных образований в исполнении конкретных расходных обязательств главными распорядителями должна быть продолжена работа по укрупнению субсидий в целях предоставления одной "единой субсидии" в рамках одной государственной программы области.</w:t>
      </w:r>
    </w:p>
    <w:p>
      <w:pPr>
        <w:pStyle w:val="0"/>
        <w:spacing w:before="200" w:line-rule="auto"/>
        <w:ind w:firstLine="540"/>
        <w:jc w:val="both"/>
      </w:pPr>
      <w:r>
        <w:rPr>
          <w:sz w:val="20"/>
        </w:rPr>
        <w:t xml:space="preserve">Софинансирование капитальных вложений в объекты муниципальной собственности будет осуществляться при наличии на 1 августа 2022 года проектной документации, определяющей реальную стоимость строительства объектов. При определении предельных уровней софинансирования расходных обязательств муниципальных образований на строительство (реконструкцию) объектов муниципальной собственности планируется осуществлять зачет стоимости проектной документации, разработанной муниципальным образованием.</w:t>
      </w:r>
    </w:p>
    <w:p>
      <w:pPr>
        <w:pStyle w:val="0"/>
        <w:spacing w:before="200" w:line-rule="auto"/>
        <w:ind w:firstLine="540"/>
        <w:jc w:val="both"/>
      </w:pPr>
      <w:r>
        <w:rPr>
          <w:sz w:val="20"/>
        </w:rPr>
        <w:t xml:space="preserve">Финансовое обеспечение осуществления муниципальными образованиями области государственных полномочий Владимирской области будет осуществляться за счет субвенций, выделяемых из областного бюджета. Задачей в сфере предоставления субвенций является обеспечение достаточности средств областного бюджета, направляемых на исполнение переданных полномочий.</w:t>
      </w:r>
    </w:p>
    <w:p>
      <w:pPr>
        <w:pStyle w:val="0"/>
        <w:spacing w:before="200" w:line-rule="auto"/>
        <w:ind w:firstLine="540"/>
        <w:jc w:val="both"/>
      </w:pPr>
      <w:r>
        <w:rPr>
          <w:sz w:val="20"/>
        </w:rPr>
        <w:t xml:space="preserve">В целях прямого вовлечения населения в решение приоритетных социальных проблем местного уровня будут предусмотрены межбюджетные трансферты на реализацию инициативных проектов.</w:t>
      </w:r>
    </w:p>
    <w:p>
      <w:pPr>
        <w:pStyle w:val="0"/>
        <w:jc w:val="both"/>
      </w:pPr>
      <w:r>
        <w:rPr>
          <w:sz w:val="20"/>
        </w:rPr>
      </w:r>
    </w:p>
    <w:p>
      <w:pPr>
        <w:pStyle w:val="2"/>
        <w:outlineLvl w:val="1"/>
        <w:jc w:val="center"/>
      </w:pPr>
      <w:r>
        <w:rPr>
          <w:sz w:val="20"/>
        </w:rPr>
        <w:t xml:space="preserve">5. Реализация основных направлений бюджетной политики</w:t>
      </w:r>
    </w:p>
    <w:p>
      <w:pPr>
        <w:pStyle w:val="2"/>
        <w:jc w:val="center"/>
      </w:pPr>
      <w:r>
        <w:rPr>
          <w:sz w:val="20"/>
        </w:rPr>
        <w:t xml:space="preserve">на 2023 - 2025 годы</w:t>
      </w:r>
    </w:p>
    <w:p>
      <w:pPr>
        <w:pStyle w:val="0"/>
        <w:jc w:val="both"/>
      </w:pPr>
      <w:r>
        <w:rPr>
          <w:sz w:val="20"/>
        </w:rPr>
      </w:r>
    </w:p>
    <w:p>
      <w:pPr>
        <w:pStyle w:val="0"/>
        <w:ind w:firstLine="540"/>
        <w:jc w:val="both"/>
      </w:pPr>
      <w:r>
        <w:rPr>
          <w:sz w:val="20"/>
        </w:rPr>
        <w:t xml:space="preserve">В ходе формирования проекта областного бюджета на 2023 - 2025 годы в целях выполнения условий реструктуризации обязательств по бюджетным кредитам федерального бюджета, утвержденных </w:t>
      </w:r>
      <w:hyperlink w:history="0" r:id="rId60"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главным администраторам доходов областного бюджета необходимо продолжить работу по уточнению прогноза налоговых и неналоговых доходов.</w:t>
      </w:r>
    </w:p>
    <w:p>
      <w:pPr>
        <w:pStyle w:val="0"/>
        <w:spacing w:before="200" w:line-rule="auto"/>
        <w:ind w:firstLine="540"/>
        <w:jc w:val="both"/>
      </w:pPr>
      <w:r>
        <w:rPr>
          <w:sz w:val="20"/>
        </w:rPr>
        <w:t xml:space="preserve">Главным распорядителям по согласованию с первыми заместителями Губернатора области и заместителями Губернатора области (в соответствии с распределением обязанностей) при подготовке проекта областного бюджета на 2023 год и на плановый период 2024 и 2025 годов:</w:t>
      </w:r>
    </w:p>
    <w:p>
      <w:pPr>
        <w:pStyle w:val="0"/>
        <w:spacing w:before="200" w:line-rule="auto"/>
        <w:ind w:firstLine="540"/>
        <w:jc w:val="both"/>
      </w:pPr>
      <w:r>
        <w:rPr>
          <w:sz w:val="20"/>
        </w:rPr>
        <w:t xml:space="preserve">1) в срок до 5 августа 2022 года направить заявки (с расчетами и обоснованиями) в федеральные органы исполнительной власти на участие области в реализации государственных программ Российской Федерации на 2023 - 2025 годы и принять исчерпывающие меры по привлечению межбюджетных трансфертов из федерального бюджета в максимально возможном объеме с учетом недоведения части указанных средств до исполнителей федеральных государственных программ в полном объеме в целях обеспечения сбалансированности федерального бюджета (объем указанных средств утвержден </w:t>
      </w:r>
      <w:hyperlink w:history="0" r:id="rId61" w:tooltip="&quot;Методика расчета предельных базовых бюджетных ассигнований федерального бюджета по государственным программам Российской Федерации и непрограммным направлениям деятельности на 2023 год и на плановый период 2024 и 2025 годов&quot; {КонсультантПлюс}">
        <w:r>
          <w:rPr>
            <w:sz w:val="20"/>
            <w:color w:val="0000ff"/>
          </w:rPr>
          <w:t xml:space="preserve">приложением N 12</w:t>
        </w:r>
      </w:hyperlink>
      <w:r>
        <w:rPr>
          <w:sz w:val="20"/>
        </w:rPr>
        <w:t xml:space="preserve"> к Методике расчета базовых бюджетных ассигнований по госпрограммам Российской Федерации на 2023 год и на плановый период 2024 и 2025 годов);</w:t>
      </w:r>
    </w:p>
    <w:p>
      <w:pPr>
        <w:pStyle w:val="0"/>
        <w:spacing w:before="200" w:line-rule="auto"/>
        <w:ind w:firstLine="540"/>
        <w:jc w:val="both"/>
      </w:pPr>
      <w:r>
        <w:rPr>
          <w:sz w:val="20"/>
        </w:rPr>
        <w:t xml:space="preserve">2) в срок до 20 августа 2022 года провести сверку исходных данных для расчета объема дотации на выравнивание бюджетной обеспеченности субъектов Российской Федерации на 2023 - 2025 годы в части расчетных объемов расходных обязательств области на осуществление полномочий по предметам ведения субъектов Российской Федерации и по предметам совместного ведения Российской Федерации и субъектов Российской Федерации, исчисляемых по правилам, утвержденным </w:t>
      </w:r>
      <w:hyperlink w:history="0" r:id="rId62" w:tooltip="Постановление Правительства РФ от 22.11.2004 N 670 (ред. от 24.12.2021) &quot;О распределении дотаций на выравнивание бюджетной обеспеченности субъектов Российской Федерации&quot; (вместе с &quot;Методикой распределения дотаций на выравнивание бюджетной обеспеченности субъектов Российской Федерации&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22 ноября 2004 г. N 670 "О распределении дотаций на выравнивание бюджетной обеспеченности субъектов Российской Федерации";</w:t>
      </w:r>
    </w:p>
    <w:p>
      <w:pPr>
        <w:pStyle w:val="0"/>
        <w:spacing w:before="200" w:line-rule="auto"/>
        <w:ind w:firstLine="540"/>
        <w:jc w:val="both"/>
      </w:pPr>
      <w:r>
        <w:rPr>
          <w:sz w:val="20"/>
        </w:rPr>
        <w:t xml:space="preserve">3) в пределах доведенных бюджетных ассигнований предусмотреть в полном объеме расходы на исполнение полномочий субъекта Российской Федерации и совместных полномочий Российской Федерации и субъектов Российской Федерации, обусловленных областными законами и (или) постановлениями администрации области, а также с учетом реализации наказов избирателей депутатам Законодательного Собрания области;</w:t>
      </w:r>
    </w:p>
    <w:p>
      <w:pPr>
        <w:pStyle w:val="0"/>
        <w:spacing w:before="200" w:line-rule="auto"/>
        <w:ind w:firstLine="540"/>
        <w:jc w:val="both"/>
      </w:pPr>
      <w:r>
        <w:rPr>
          <w:sz w:val="20"/>
        </w:rPr>
        <w:t xml:space="preserve">4) в пределах доведенных бюджетных ассигнований предусмотреть в полном объеме расходы на реализацию региональных составляющих национальных проектов в целях достижения контрольных точек по реализации </w:t>
      </w:r>
      <w:hyperlink w:history="0" r:id="rId63"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64"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r>
        <w:rPr>
          <w:sz w:val="20"/>
        </w:rPr>
        <w:t xml:space="preserve">5) распределить все межбюджетные трансферты между муниципальными образованиями на 2023 - 2025 годы законом области об областном бюджете на очередной финансовый год и плановый период (за исключением конкурсных субсидий и конкурсных иных межбюджетных трансфертов, а также субсидий, источником финансового обеспечения которых являются резервные фонды);</w:t>
      </w:r>
    </w:p>
    <w:p>
      <w:pPr>
        <w:pStyle w:val="0"/>
        <w:spacing w:before="200" w:line-rule="auto"/>
        <w:ind w:firstLine="540"/>
        <w:jc w:val="both"/>
      </w:pPr>
      <w:r>
        <w:rPr>
          <w:sz w:val="20"/>
        </w:rPr>
        <w:t xml:space="preserve">6) предусматривать в порядках предоставления субсидий, иных межбюджетных трансфертов бюджетам муниципальных образований на строительство (реконструкцию) объектов муниципальной собственности возможность направления указанных средств на разработку проектно-сметной документации и получение положительного заключения государственной экспертизы. В случае разработки проектной документации муниципальным образованием за счет средств местного бюджета уровень софинансирования расходного обязательства муниципального образования при реализации объекта из областного бюджета может быть увеличен на сумму средств, направленных муниципальным образованием на разработку проектной документации и получение положительного заключения государственной экспертизы, но не может превысить 97% от стоимости расходного обязательства муниципального образования;</w:t>
      </w:r>
    </w:p>
    <w:p>
      <w:pPr>
        <w:pStyle w:val="0"/>
        <w:spacing w:before="200" w:line-rule="auto"/>
        <w:ind w:firstLine="540"/>
        <w:jc w:val="both"/>
      </w:pPr>
      <w:r>
        <w:rPr>
          <w:sz w:val="20"/>
        </w:rPr>
        <w:t xml:space="preserve">7) при определении объема расходов на 2023 - 2025 годы по межбюджетным трансфертам муниципальным образованиям на повышение оплаты труда педагогических работников образовательных учреждений общего образования, дошкольных образовательных учреждений, учреждений дополнительного образования детей и работников учреждений культуры в соответствии с Указами Президента Российской Федерации от 7 мая 2012 г. </w:t>
      </w:r>
      <w:hyperlink w:history="0" r:id="rId6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и от 1 июня 2012 г. </w:t>
      </w:r>
      <w:hyperlink w:history="0" r:id="rId66"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учитывать оптимизацию расходов на содержание административно-управленческого и вспомогательного персонала с учетом предельной доли расходов на оплату их труда в фонде оплаты труда учреждения - не более 40 процентов;</w:t>
      </w:r>
    </w:p>
    <w:p>
      <w:pPr>
        <w:pStyle w:val="0"/>
        <w:spacing w:before="200" w:line-rule="auto"/>
        <w:ind w:firstLine="540"/>
        <w:jc w:val="both"/>
      </w:pPr>
      <w:r>
        <w:rPr>
          <w:sz w:val="20"/>
        </w:rPr>
        <w:t xml:space="preserve">8) сократить количество субсидий местным бюджетам путем их объединения (укрупнения) с целью повышения самостоятельности органов местного самоуправления в принятии решений о направлении их использования;</w:t>
      </w:r>
    </w:p>
    <w:p>
      <w:pPr>
        <w:pStyle w:val="0"/>
        <w:spacing w:before="200" w:line-rule="auto"/>
        <w:ind w:firstLine="540"/>
        <w:jc w:val="both"/>
      </w:pPr>
      <w:r>
        <w:rPr>
          <w:sz w:val="20"/>
        </w:rPr>
        <w:t xml:space="preserve">9) распределить бюджетные ассигнования по бюджетным и автономным учреждениям с учетом прогнозируемых неиспользованных остатков средств на счетах подведомственных учреждений по состоянию на 1 января 2023 года;</w:t>
      </w:r>
    </w:p>
    <w:p>
      <w:pPr>
        <w:pStyle w:val="0"/>
        <w:spacing w:before="200" w:line-rule="auto"/>
        <w:ind w:firstLine="540"/>
        <w:jc w:val="both"/>
      </w:pPr>
      <w:r>
        <w:rPr>
          <w:sz w:val="20"/>
        </w:rPr>
        <w:t xml:space="preserve">10) до 20 августа 2022 года принять исчерпывающие меры по подготовке актуальной проектно-сметной документации по состоянию на 1 августа текущего года по строительству (реконструкции) объектов областной (муниципальной) собственности, начало строительства (реконструкции) которых планируется в 2023 году, проектно-сметной документации по строительству (реконструкции) объектов областной (муниципальной) собственности или обоснований (решений) бюджетных инвестиций (с указанием цели и стоимости строительства, сроков ввода объекта) по состоянию на 1 августа текущего года, начало строительства (реконструкции) которых планируется в 2024 - 2025 годах;</w:t>
      </w:r>
    </w:p>
    <w:p>
      <w:pPr>
        <w:pStyle w:val="0"/>
        <w:spacing w:before="200" w:line-rule="auto"/>
        <w:ind w:firstLine="540"/>
        <w:jc w:val="both"/>
      </w:pPr>
      <w:r>
        <w:rPr>
          <w:sz w:val="20"/>
        </w:rPr>
        <w:t xml:space="preserve">11) до 20 августа 2022 года принять исчерпывающие меры по подготовке актуальной проектной документации на капитальный ремонт объектов областной собственности по состоянию на 1 августа текущего года, капитальный ремонт которых планируется в 2023 году, проектной документации на капитальный ремонт объектов областной собственности или обоснований расходов (актов обследований, укрупненного сметного расчета) по состоянию на 1 августа текущего года, капитальный ремонт которых планируется в 2024 - 2025 годах;</w:t>
      </w:r>
    </w:p>
    <w:p>
      <w:pPr>
        <w:pStyle w:val="0"/>
        <w:spacing w:before="200" w:line-rule="auto"/>
        <w:ind w:firstLine="540"/>
        <w:jc w:val="both"/>
      </w:pPr>
      <w:r>
        <w:rPr>
          <w:sz w:val="20"/>
        </w:rPr>
        <w:t xml:space="preserve">12) до 20 августа 2022 года исходя из предельных объемов бюджетного финансирования на 2023 - 2025 годы разработать проекты изменений в паспорта действующих государственных программ области, до 1 сентября 2022 года - паспорта новых государственных программ области, реализация которых начнется с 2023 года, с учетом требований </w:t>
      </w:r>
      <w:hyperlink w:history="0" r:id="rId67" w:tooltip="Постановление администрации Владимирской обл. от 24.12.2021 N 880 (ред. от 27.10.2022) &quot;Об утверждении Положения о системе управления государственными программами Владимирской области&quot; {КонсультантПлюс}">
        <w:r>
          <w:rPr>
            <w:sz w:val="20"/>
            <w:color w:val="0000ff"/>
          </w:rPr>
          <w:t xml:space="preserve">постановления</w:t>
        </w:r>
      </w:hyperlink>
      <w:r>
        <w:rPr>
          <w:sz w:val="20"/>
        </w:rPr>
        <w:t xml:space="preserve"> администрации области 24 декабря 2021 г. N 880 "Об утверждении положения о системе управления государственными программами Владимирской области", а также с учетом замечаний Счетной палаты области по результатам экспертизы исполнения в 2021 году действующих государственных программ области;</w:t>
      </w:r>
    </w:p>
    <w:p>
      <w:pPr>
        <w:pStyle w:val="0"/>
        <w:spacing w:before="200" w:line-rule="auto"/>
        <w:ind w:firstLine="540"/>
        <w:jc w:val="both"/>
      </w:pPr>
      <w:r>
        <w:rPr>
          <w:sz w:val="20"/>
        </w:rPr>
        <w:t xml:space="preserve">13) в срок до 1 января 2023 года заключить с федеральными органами исполнительной власти соглашения о предоставлении субсидий и иных межбюджетных трансфертов из федерального бюджета на 2023 - 2025 годы;</w:t>
      </w:r>
    </w:p>
    <w:p>
      <w:pPr>
        <w:pStyle w:val="0"/>
        <w:spacing w:before="200" w:line-rule="auto"/>
        <w:ind w:firstLine="540"/>
        <w:jc w:val="both"/>
      </w:pPr>
      <w:r>
        <w:rPr>
          <w:sz w:val="20"/>
        </w:rPr>
        <w:t xml:space="preserve">14) подготовить в 2022 году необходимую конкурсную документацию по расходам капитального характера, в том числе осуществляемым в рамках национальных проектов, для проведения контрактации расходов до 1 марта 2023 года;</w:t>
      </w:r>
    </w:p>
    <w:p>
      <w:pPr>
        <w:pStyle w:val="0"/>
        <w:spacing w:before="200" w:line-rule="auto"/>
        <w:ind w:firstLine="540"/>
        <w:jc w:val="both"/>
      </w:pPr>
      <w:r>
        <w:rPr>
          <w:sz w:val="20"/>
        </w:rPr>
        <w:t xml:space="preserve">15) учесть заключения Счетной палаты области по итогам контрольных и экспертно-аналитических мероприятий, а также заключение по отчету об исполнении областного бюджета за 2021 год.</w:t>
      </w:r>
    </w:p>
    <w:p>
      <w:pPr>
        <w:pStyle w:val="0"/>
        <w:spacing w:before="200" w:line-rule="auto"/>
        <w:ind w:firstLine="540"/>
        <w:jc w:val="both"/>
      </w:pPr>
      <w:r>
        <w:rPr>
          <w:sz w:val="20"/>
        </w:rPr>
        <w:t xml:space="preserve">Департаменту экономического развития области:</w:t>
      </w:r>
    </w:p>
    <w:p>
      <w:pPr>
        <w:pStyle w:val="0"/>
        <w:spacing w:before="200" w:line-rule="auto"/>
        <w:ind w:firstLine="540"/>
        <w:jc w:val="both"/>
      </w:pPr>
      <w:r>
        <w:rPr>
          <w:sz w:val="20"/>
        </w:rPr>
        <w:t xml:space="preserve">- в срок до 1 августа 2022 года подготовить и внести на рассмотрение Губернатору области проект распоряжения администрации области по распределению средств, высвобождаемых в 2023 и 2024 годах в результате реструктуризации обязательств по бюджетным кредитам из федерального бюджета, на реализацию новых инвестиционных проектов в соответствии с постановлением Правительства Российской Федерации от 19 декабря 2020 г. N 1704;</w:t>
      </w:r>
    </w:p>
    <w:p>
      <w:pPr>
        <w:pStyle w:val="0"/>
        <w:spacing w:before="200" w:line-rule="auto"/>
        <w:ind w:firstLine="540"/>
        <w:jc w:val="both"/>
      </w:pPr>
      <w:r>
        <w:rPr>
          <w:sz w:val="20"/>
        </w:rPr>
        <w:t xml:space="preserve">- в срок до 20 августа 2022 года представить в Департамент финансов области обоснования бюджетных ассигнований на исполнение указанных новых инвестиционных проектов;</w:t>
      </w:r>
    </w:p>
    <w:p>
      <w:pPr>
        <w:pStyle w:val="0"/>
        <w:spacing w:before="200" w:line-rule="auto"/>
        <w:ind w:firstLine="540"/>
        <w:jc w:val="both"/>
      </w:pPr>
      <w:r>
        <w:rPr>
          <w:sz w:val="20"/>
        </w:rPr>
        <w:t xml:space="preserve">- в срок до 1 сентября 2022 года направить в установленном </w:t>
      </w:r>
      <w:hyperlink w:history="0" r:id="rId68" w:tooltip="Постановление Правительства РФ от 19.10.2020 N 1704 (ред. от 21.09.2022) &quot;Об утверждении Правил определения новых инвестиционных проектов, в целях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выполнение инженерных изысканий, проектирование, экспертизу проектной документации и (или) результатов инженерных изысканий,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19 октября 2020 г. N 1704 порядке в Министерство экономического развития Российской Федерации уточненный перечень новых инвестиционных проектов для рассмотрения их президиумом Правительственной комиссии по региональному развитию и в срок до 12 октября 2022 года заключить в установленном порядке соответствующее соглашение с Министерством экономического развития Российской Федерации.</w:t>
      </w:r>
    </w:p>
    <w:p>
      <w:pPr>
        <w:pStyle w:val="0"/>
        <w:spacing w:before="200" w:line-rule="auto"/>
        <w:ind w:firstLine="540"/>
        <w:jc w:val="both"/>
      </w:pPr>
      <w:r>
        <w:rPr>
          <w:sz w:val="20"/>
        </w:rPr>
        <w:t xml:space="preserve">Департаменту регионального развития области в срок до 1 августа 2022 года подготовить и внести на рассмотрение Губернатору области проект постановления администрации области о дополнении </w:t>
      </w:r>
      <w:hyperlink w:history="0" r:id="rId69" w:tooltip="Постановление администрации Владимирской обл. от 27.12.2021 N 900 (ред. от 25.11.2022) &quot;Об утверждении детализированного перечня мероприятий, реализуемых в рамках инфраструктурных проектов Владимирской области, отобранных в соответствии с постановлением Правительства Российской Федерации от 14.07.2021 N 1189&quot; {КонсультантПлюс}">
        <w:r>
          <w:rPr>
            <w:sz w:val="20"/>
            <w:color w:val="0000ff"/>
          </w:rPr>
          <w:t xml:space="preserve">постановления</w:t>
        </w:r>
      </w:hyperlink>
      <w:r>
        <w:rPr>
          <w:sz w:val="20"/>
        </w:rPr>
        <w:t xml:space="preserve"> администрации области от 27 декабря 2021 г. N 900 "Об утверждении детализированного перечня мероприятий, реализуемых в рамках инфраструктурных проектов Владимирской области, отобранных в соответствии с постановлением Правительства Российской Федерации от 14.07.2021 N 1189" в части реализации в 2024 - 2025 годах новых инфраструктурных проектов.</w:t>
      </w:r>
    </w:p>
    <w:p>
      <w:pPr>
        <w:pStyle w:val="0"/>
        <w:spacing w:before="200" w:line-rule="auto"/>
        <w:ind w:firstLine="540"/>
        <w:jc w:val="both"/>
      </w:pPr>
      <w:r>
        <w:rPr>
          <w:sz w:val="20"/>
        </w:rPr>
        <w:t xml:space="preserve">Департаменту жилищно-коммунального хозяйства области в срок до 20 августа 2022 года:</w:t>
      </w:r>
    </w:p>
    <w:p>
      <w:pPr>
        <w:pStyle w:val="0"/>
        <w:spacing w:before="200" w:line-rule="auto"/>
        <w:ind w:firstLine="540"/>
        <w:jc w:val="both"/>
      </w:pPr>
      <w:r>
        <w:rPr>
          <w:sz w:val="20"/>
        </w:rPr>
        <w:t xml:space="preserve">- проработать вопросы реализации новых инвестиционных проектов в сфере жилищно-коммунального хозяйства с использованием новых механизмов их финансирования (гарантий по облигационным займам);</w:t>
      </w:r>
    </w:p>
    <w:p>
      <w:pPr>
        <w:pStyle w:val="0"/>
        <w:spacing w:before="200" w:line-rule="auto"/>
        <w:ind w:firstLine="540"/>
        <w:jc w:val="both"/>
      </w:pPr>
      <w:r>
        <w:rPr>
          <w:sz w:val="20"/>
        </w:rPr>
        <w:t xml:space="preserve">- представить в Департамент финансов области документы о предоставлении займа инвестору с параметрами и условиями займа в целях формирования предельного объема государственного внутреннего долга области на 2023 - 2025 годы.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717" w:name="P717"/>
    <w:bookmarkEnd w:id="717"/>
    <w:p>
      <w:pPr>
        <w:pStyle w:val="2"/>
        <w:jc w:val="center"/>
      </w:pPr>
      <w:r>
        <w:rPr>
          <w:sz w:val="20"/>
        </w:rPr>
        <w:t xml:space="preserve">ОСНОВНЫЕ НАПРАВЛЕНИЯ</w:t>
      </w:r>
    </w:p>
    <w:p>
      <w:pPr>
        <w:pStyle w:val="2"/>
        <w:jc w:val="center"/>
      </w:pPr>
      <w:r>
        <w:rPr>
          <w:sz w:val="20"/>
        </w:rPr>
        <w:t xml:space="preserve">ДОЛГОВОЙ ПОЛИТИКИ ВЛАДИМИРСКОЙ ОБЛАСТИ НА 2023 ГОД</w:t>
      </w:r>
    </w:p>
    <w:p>
      <w:pPr>
        <w:pStyle w:val="2"/>
        <w:jc w:val="center"/>
      </w:pPr>
      <w:r>
        <w:rPr>
          <w:sz w:val="20"/>
        </w:rPr>
        <w:t xml:space="preserve">И НА ПЛАНОВЫЙ ПЕРИОД 2024 И 2025 ГОДОВ</w:t>
      </w:r>
    </w:p>
    <w:p>
      <w:pPr>
        <w:pStyle w:val="0"/>
        <w:jc w:val="both"/>
      </w:pPr>
      <w:r>
        <w:rPr>
          <w:sz w:val="20"/>
        </w:rPr>
      </w:r>
    </w:p>
    <w:p>
      <w:pPr>
        <w:pStyle w:val="0"/>
        <w:ind w:firstLine="540"/>
        <w:jc w:val="both"/>
      </w:pPr>
      <w:r>
        <w:rPr>
          <w:sz w:val="20"/>
        </w:rPr>
        <w:t xml:space="preserve">Основные направления долговой политики Владимирской области на 2023 год и на плановый период 2024 и 2025 годов разработаны в соответствии со </w:t>
      </w:r>
      <w:hyperlink w:history="0" r:id="rId70"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107.1</w:t>
        </w:r>
      </w:hyperlink>
      <w:r>
        <w:rPr>
          <w:sz w:val="20"/>
        </w:rPr>
        <w:t xml:space="preserve"> Бюджетного кодекса Российской Федерации в целях обеспечения эффективного управления государственным долгом Владимирской области.</w:t>
      </w:r>
    </w:p>
    <w:p>
      <w:pPr>
        <w:pStyle w:val="0"/>
        <w:spacing w:before="200" w:line-rule="auto"/>
        <w:ind w:firstLine="540"/>
        <w:jc w:val="both"/>
      </w:pPr>
      <w:r>
        <w:rPr>
          <w:sz w:val="20"/>
        </w:rPr>
        <w:t xml:space="preserve">Долговая политика Владимирской области сформирована на основе основных направлений бюджетной и налоговой политики на очередной финансовый год и на плановый период, соглашения о мерах по социально-экономическому развитию и оздоровлению государственных финансов Владимирской области, заключенного с Министерством финансов Российской Федерации, а также с учетом исполнения условий предоставления и реструктуризации бюджетных кредитов федерального бюджета.</w:t>
      </w:r>
    </w:p>
    <w:p>
      <w:pPr>
        <w:pStyle w:val="0"/>
        <w:jc w:val="both"/>
      </w:pPr>
      <w:r>
        <w:rPr>
          <w:sz w:val="20"/>
        </w:rPr>
      </w:r>
    </w:p>
    <w:p>
      <w:pPr>
        <w:pStyle w:val="2"/>
        <w:outlineLvl w:val="1"/>
        <w:jc w:val="center"/>
      </w:pPr>
      <w:r>
        <w:rPr>
          <w:sz w:val="20"/>
        </w:rPr>
        <w:t xml:space="preserve">1. Итоги реализации долговой политики Владимирской области</w:t>
      </w:r>
    </w:p>
    <w:p>
      <w:pPr>
        <w:pStyle w:val="2"/>
        <w:jc w:val="center"/>
      </w:pPr>
      <w:r>
        <w:rPr>
          <w:sz w:val="20"/>
        </w:rPr>
        <w:t xml:space="preserve">за 2021 год</w:t>
      </w:r>
    </w:p>
    <w:p>
      <w:pPr>
        <w:pStyle w:val="0"/>
        <w:jc w:val="both"/>
      </w:pPr>
      <w:r>
        <w:rPr>
          <w:sz w:val="20"/>
        </w:rPr>
      </w:r>
    </w:p>
    <w:p>
      <w:pPr>
        <w:pStyle w:val="0"/>
        <w:ind w:firstLine="540"/>
        <w:jc w:val="both"/>
      </w:pPr>
      <w:r>
        <w:rPr>
          <w:sz w:val="20"/>
        </w:rPr>
        <w:t xml:space="preserve">По итогам 2021 года объем государственного долга Владимирской области составил 3756,9 млн. рублей, или 5,9 процента от доходов областного бюджета без учета безвозмездных поступлений, что соответствует нормам бюджетного законодательства. Государственный долг области представлен на 100 процентов бюджетными кредитами, полученными из федерального бюджета в 2010 - 2017 годах:</w:t>
      </w:r>
    </w:p>
    <w:p>
      <w:pPr>
        <w:pStyle w:val="0"/>
        <w:spacing w:before="200" w:line-rule="auto"/>
        <w:ind w:firstLine="540"/>
        <w:jc w:val="both"/>
      </w:pPr>
      <w:r>
        <w:rPr>
          <w:sz w:val="20"/>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- 1145,3 млн. рублей;</w:t>
      </w:r>
    </w:p>
    <w:p>
      <w:pPr>
        <w:pStyle w:val="0"/>
        <w:spacing w:before="200" w:line-rule="auto"/>
        <w:ind w:firstLine="540"/>
        <w:jc w:val="both"/>
      </w:pPr>
      <w:r>
        <w:rPr>
          <w:sz w:val="20"/>
        </w:rPr>
        <w:t xml:space="preserve">- на частичное финансирование дефицита бюджета Владимирской области - 2611,6 млн. рублей.</w:t>
      </w:r>
    </w:p>
    <w:p>
      <w:pPr>
        <w:pStyle w:val="0"/>
        <w:spacing w:before="200" w:line-rule="auto"/>
        <w:ind w:firstLine="540"/>
        <w:jc w:val="both"/>
      </w:pPr>
      <w:r>
        <w:rPr>
          <w:sz w:val="20"/>
        </w:rPr>
        <w:t xml:space="preserve">Проценты за пользование бюджетными кредитами составляют 0,1 процента годовых.</w:t>
      </w:r>
    </w:p>
    <w:p>
      <w:pPr>
        <w:pStyle w:val="0"/>
        <w:spacing w:before="200" w:line-rule="auto"/>
        <w:ind w:firstLine="540"/>
        <w:jc w:val="both"/>
      </w:pPr>
      <w:r>
        <w:rPr>
          <w:sz w:val="20"/>
        </w:rPr>
        <w:t xml:space="preserve">Расходы на обслуживание государственного долга за 2021 год составили 3880,4 тыс. рублей, или 0,005 процента от расходов областного бюджета (без учета расходов, осуществляемых за счет субвенций).</w:t>
      </w:r>
    </w:p>
    <w:p>
      <w:pPr>
        <w:pStyle w:val="0"/>
        <w:spacing w:before="200" w:line-rule="auto"/>
        <w:ind w:firstLine="540"/>
        <w:jc w:val="both"/>
      </w:pPr>
      <w:r>
        <w:rPr>
          <w:sz w:val="20"/>
        </w:rPr>
        <w:t xml:space="preserve">Государственный долг региона и расходы на его обслуживание являются одними из самых низких в Центральном Федеральном округе и в целом по Российской Федерации.</w:t>
      </w:r>
    </w:p>
    <w:p>
      <w:pPr>
        <w:pStyle w:val="0"/>
        <w:spacing w:before="200" w:line-rule="auto"/>
        <w:ind w:firstLine="540"/>
        <w:jc w:val="both"/>
      </w:pPr>
      <w:r>
        <w:rPr>
          <w:sz w:val="20"/>
        </w:rPr>
        <w:t xml:space="preserve">Погашение и обслуживание долговых обязательств области осуществлялись в установленный срок и в полном объеме.</w:t>
      </w:r>
    </w:p>
    <w:p>
      <w:pPr>
        <w:pStyle w:val="0"/>
        <w:jc w:val="both"/>
      </w:pPr>
      <w:r>
        <w:rPr>
          <w:sz w:val="20"/>
        </w:rPr>
      </w:r>
    </w:p>
    <w:p>
      <w:pPr>
        <w:pStyle w:val="2"/>
        <w:outlineLvl w:val="1"/>
        <w:jc w:val="center"/>
      </w:pPr>
      <w:r>
        <w:rPr>
          <w:sz w:val="20"/>
        </w:rPr>
        <w:t xml:space="preserve">2. Основные факторы, определяющие характер и направления</w:t>
      </w:r>
    </w:p>
    <w:p>
      <w:pPr>
        <w:pStyle w:val="2"/>
        <w:jc w:val="center"/>
      </w:pPr>
      <w:r>
        <w:rPr>
          <w:sz w:val="20"/>
        </w:rPr>
        <w:t xml:space="preserve">долговой политики Владимирской области на 2023 год</w:t>
      </w:r>
    </w:p>
    <w:p>
      <w:pPr>
        <w:pStyle w:val="2"/>
        <w:jc w:val="center"/>
      </w:pPr>
      <w:r>
        <w:rPr>
          <w:sz w:val="20"/>
        </w:rPr>
        <w:t xml:space="preserve">и на плановый период 2024 и 2025 годов</w:t>
      </w:r>
    </w:p>
    <w:p>
      <w:pPr>
        <w:pStyle w:val="0"/>
        <w:jc w:val="both"/>
      </w:pPr>
      <w:r>
        <w:rPr>
          <w:sz w:val="20"/>
        </w:rPr>
      </w:r>
    </w:p>
    <w:p>
      <w:pPr>
        <w:pStyle w:val="0"/>
        <w:ind w:firstLine="540"/>
        <w:jc w:val="both"/>
      </w:pPr>
      <w:r>
        <w:rPr>
          <w:sz w:val="20"/>
        </w:rPr>
        <w:t xml:space="preserve">В планируемом периоде одновременно несколько факторов будут определять характер и направления долговой политики Владимирской области.</w:t>
      </w:r>
    </w:p>
    <w:p>
      <w:pPr>
        <w:pStyle w:val="0"/>
        <w:spacing w:before="200" w:line-rule="auto"/>
        <w:ind w:firstLine="540"/>
        <w:jc w:val="both"/>
      </w:pPr>
      <w:r>
        <w:rPr>
          <w:sz w:val="20"/>
        </w:rPr>
        <w:t xml:space="preserve">Фактор 1. Макроэкономические условия реализации долговой политики.</w:t>
      </w:r>
    </w:p>
    <w:p>
      <w:pPr>
        <w:pStyle w:val="0"/>
        <w:spacing w:before="200" w:line-rule="auto"/>
        <w:ind w:firstLine="540"/>
        <w:jc w:val="both"/>
      </w:pPr>
      <w:r>
        <w:rPr>
          <w:sz w:val="20"/>
        </w:rPr>
        <w:t xml:space="preserve">Социально-экономическое положение Владимирской области в течение последних лет характеризовалось положительной динамикой роста промышленного производства, объема инвестиций, прибыли.</w:t>
      </w:r>
    </w:p>
    <w:p>
      <w:pPr>
        <w:pStyle w:val="0"/>
        <w:spacing w:before="200" w:line-rule="auto"/>
        <w:ind w:firstLine="540"/>
        <w:jc w:val="both"/>
      </w:pPr>
      <w:r>
        <w:rPr>
          <w:sz w:val="20"/>
        </w:rPr>
        <w:t xml:space="preserve">Согласно прогнозным показателям социально-экономического развития Владимирской области на 2023 - 2025 годы объем валового регионального продукта (далее - ВРП) в 2023 году составит 750568,5 млн. рублей, индекс физического объема ВРП на 2023 год - 101,1%, прибыль прибыльных организаций - 101339,9 млн. рублей, фонд заработной платы - 233576,0 млн. рублей.</w:t>
      </w:r>
    </w:p>
    <w:p>
      <w:pPr>
        <w:pStyle w:val="0"/>
        <w:spacing w:before="200" w:line-rule="auto"/>
        <w:ind w:firstLine="540"/>
        <w:jc w:val="both"/>
      </w:pPr>
      <w:r>
        <w:rPr>
          <w:sz w:val="20"/>
        </w:rPr>
        <w:t xml:space="preserve">Индекс физического объема ВРП в 2024 году составит 101,3%. Рост прибыли прибыльных организаций составит 104% к уровню 2023 года, фонда заработной платы - 107,9%.</w:t>
      </w:r>
    </w:p>
    <w:p>
      <w:pPr>
        <w:pStyle w:val="0"/>
        <w:spacing w:before="200" w:line-rule="auto"/>
        <w:ind w:firstLine="540"/>
        <w:jc w:val="both"/>
      </w:pPr>
      <w:r>
        <w:rPr>
          <w:sz w:val="20"/>
        </w:rPr>
        <w:t xml:space="preserve">В 2025 году объем ВРП достигнет 917294,1 млн. рублей, прибыль прибыльных организаций увеличится на 4% к уровню 2024 года и составит 109609,0 млн. рублей, фонд заработной платы - на 7,9% (272156,0 млн. рублей).</w:t>
      </w:r>
    </w:p>
    <w:p>
      <w:pPr>
        <w:pStyle w:val="0"/>
        <w:spacing w:before="200" w:line-rule="auto"/>
        <w:ind w:firstLine="540"/>
        <w:jc w:val="both"/>
      </w:pPr>
      <w:r>
        <w:rPr>
          <w:sz w:val="20"/>
        </w:rPr>
        <w:t xml:space="preserve">Объем инвестиций в основной капитал в 2023 году во Владимирской области составит 122476,9 млн. рублей, в 2024 году - 145404,5 млн. рублей, в 2025 году - 158781,7 млн. рублей.</w:t>
      </w:r>
    </w:p>
    <w:p>
      <w:pPr>
        <w:pStyle w:val="0"/>
        <w:spacing w:before="200" w:line-rule="auto"/>
        <w:ind w:firstLine="540"/>
        <w:jc w:val="both"/>
      </w:pPr>
      <w:r>
        <w:rPr>
          <w:sz w:val="20"/>
        </w:rPr>
        <w:t xml:space="preserve">Учитывая данные факторы, поступления налоговых и неналоговых доходов областного бюджета с учетом доходов дорожного фонда в 2023 году составят 59607,7 млн. рублей (100,3% к плану 2022 года). Без учета доходов дорожного фонда поступления налоговых и неналоговых доходов составят в 2023 году 52271,7 млн. рублей, или 106,1% к плану 2022 года.</w:t>
      </w:r>
    </w:p>
    <w:p>
      <w:pPr>
        <w:pStyle w:val="0"/>
        <w:spacing w:before="200" w:line-rule="auto"/>
        <w:ind w:firstLine="540"/>
        <w:jc w:val="both"/>
      </w:pPr>
      <w:r>
        <w:rPr>
          <w:sz w:val="20"/>
        </w:rPr>
        <w:t xml:space="preserve">Объем дефицита областного бюджета не превысит ограничений, установленных условиями заключенных с Министерством финансов Российской Федерации соглашений о реструктуризации обязательств (задолженности) по бюджетным кредитам, предоставленным бюджету Владимирской области из федерального бюджета. В среднесрочной перспективе в качестве одного из источников финансирования дефицита областного бюджета сохранятся кредиты кредитных организаций. Важнейшим мероприятием при реализации долговой политики является мониторинг рынка финансовых услуг в целях недопущения значительного роста расходов на обслуживание долга.</w:t>
      </w:r>
    </w:p>
    <w:p>
      <w:pPr>
        <w:pStyle w:val="0"/>
        <w:spacing w:before="200" w:line-rule="auto"/>
        <w:ind w:firstLine="540"/>
        <w:jc w:val="both"/>
      </w:pPr>
      <w:r>
        <w:rPr>
          <w:sz w:val="20"/>
        </w:rPr>
        <w:t xml:space="preserve">Фактор 2. Уровень государственного долга Владимирской области.</w:t>
      </w:r>
    </w:p>
    <w:p>
      <w:pPr>
        <w:pStyle w:val="0"/>
        <w:spacing w:before="200" w:line-rule="auto"/>
        <w:ind w:firstLine="540"/>
        <w:jc w:val="both"/>
      </w:pPr>
      <w:r>
        <w:rPr>
          <w:sz w:val="20"/>
        </w:rPr>
        <w:t xml:space="preserve">Объем государственного долга области в 2022 году по сравнению с началом года увеличился на 551,2 млн. рублей и составил на 1 июня 2022 года 4308,1 млн. рублей, или 7,7% от установленного плана по налоговым и неналоговым доходам областного бюджета на 2022 год. Увеличение государственного долга области связано с привлечением в марте - апреле 2022 года из федерального бюджета бюджетного кредита на реализацию в регионе инфраструктурных проектов в сумме 551,2 млн. рублей.</w:t>
      </w:r>
    </w:p>
    <w:p>
      <w:pPr>
        <w:pStyle w:val="0"/>
        <w:spacing w:before="200" w:line-rule="auto"/>
        <w:ind w:firstLine="540"/>
        <w:jc w:val="both"/>
      </w:pPr>
      <w:r>
        <w:rPr>
          <w:sz w:val="20"/>
        </w:rPr>
        <w:t xml:space="preserve">Без учета привлечения инфраструктурных бюджетных кредитов объем долга на 1 июня 2022 года составляет 3756,9 млн. рублей, или 6,7% от установленного плана по доходам областного бюджета на 2022 год без учета безвозмездных поступлений. Долговые обязательства Владимирской области полностью реструктуризированы. Проценты за пользование бюджетными кредитами составляют 0,1 процента годовых. При этом высвобождаемые в 2022 году в результате переноса сроков погашения реструктуризированных обязательств средства в сумме 405 млн. рублей будут направлены на осуществление бюджетных инвестиций в объекты инфраструктуры в целях реализации новых инвестиционных проектов, определяемых в порядке, предусмотренном </w:t>
      </w:r>
      <w:hyperlink w:history="0" r:id="rId71" w:tooltip="Постановление Правительства РФ от 19.10.2020 N 1704 (ред. от 21.09.2022) &quot;Об утверждении Правил определения новых инвестиционных проектов, в целях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выполнение инженерных изысканий, проектирование, экспертизу проектной документации и (или) результатов инженерных изысканий,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19 октября 2020 года N 1704 "Об утверждении Правил определения новых инвестиционных проектов, в целях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выполнение инженерных изысканий, проектирование, экспертизу проектной документации и (или) результатов инженерных изысканий, строительство, реконструкцию и ввод в эксплуатацию объектов инфраструктуры, а также на подключение (технологическое присоединение) объектов капитального строительства к сетям инженерно-технического обеспечения".</w:t>
      </w:r>
    </w:p>
    <w:p>
      <w:pPr>
        <w:pStyle w:val="0"/>
        <w:spacing w:before="200" w:line-rule="auto"/>
        <w:ind w:firstLine="540"/>
        <w:jc w:val="both"/>
      </w:pPr>
      <w:r>
        <w:rPr>
          <w:sz w:val="20"/>
        </w:rPr>
        <w:t xml:space="preserve">В 2022 году Департаментом финансов Владимирской области проведена работа по привлечению из федерального бюджета бюджетного кредита в целях погашения рыночных долговых обязательств (кредитов от кредитных организаций) 4 муниципальных образований области на общую сумму 606,5 млн. рублей. Ставка процента по бюджетному кредиту составит 0,1% годовых. Погашение бюджетного кредита в федеральный бюджет будет осуществляться в 2025 - 2028 годах равными долями.</w:t>
      </w:r>
    </w:p>
    <w:p>
      <w:pPr>
        <w:pStyle w:val="0"/>
        <w:spacing w:before="200" w:line-rule="auto"/>
        <w:ind w:firstLine="540"/>
        <w:jc w:val="both"/>
      </w:pPr>
      <w:r>
        <w:rPr>
          <w:sz w:val="20"/>
        </w:rPr>
        <w:t xml:space="preserve">Владимирская область входит в число субъектов Российской Федерации с наименьшей долговой нагрузкой на одного жителя региона, которая составила на 1 июня 2021 года 3,26 тыс. рублей.</w:t>
      </w:r>
    </w:p>
    <w:p>
      <w:pPr>
        <w:pStyle w:val="0"/>
        <w:spacing w:before="200" w:line-rule="auto"/>
        <w:ind w:firstLine="540"/>
        <w:jc w:val="both"/>
      </w:pPr>
      <w:r>
        <w:rPr>
          <w:sz w:val="20"/>
        </w:rPr>
        <w:t xml:space="preserve">Таким образом, текущий уровень государственного долга позволяет долговой устойчивости Владимирской области находиться на безопасном уровне. Владимирская область относится к группе субъектов Российской Федерации, имеющих высокую долговую устойчивость.</w:t>
      </w:r>
    </w:p>
    <w:p>
      <w:pPr>
        <w:pStyle w:val="0"/>
        <w:jc w:val="both"/>
      </w:pPr>
      <w:r>
        <w:rPr>
          <w:sz w:val="20"/>
        </w:rPr>
      </w:r>
    </w:p>
    <w:p>
      <w:pPr>
        <w:pStyle w:val="2"/>
        <w:outlineLvl w:val="1"/>
        <w:jc w:val="center"/>
      </w:pPr>
      <w:r>
        <w:rPr>
          <w:sz w:val="20"/>
        </w:rPr>
        <w:t xml:space="preserve">3. Цели и задачи долговой политики Владимирской области</w:t>
      </w:r>
    </w:p>
    <w:p>
      <w:pPr>
        <w:pStyle w:val="2"/>
        <w:jc w:val="center"/>
      </w:pPr>
      <w:r>
        <w:rPr>
          <w:sz w:val="20"/>
        </w:rPr>
        <w:t xml:space="preserve">на 2023 год и на плановый период 2024 и 2025 годов</w:t>
      </w:r>
    </w:p>
    <w:p>
      <w:pPr>
        <w:pStyle w:val="0"/>
        <w:jc w:val="both"/>
      </w:pPr>
      <w:r>
        <w:rPr>
          <w:sz w:val="20"/>
        </w:rPr>
      </w:r>
    </w:p>
    <w:p>
      <w:pPr>
        <w:pStyle w:val="0"/>
        <w:ind w:firstLine="540"/>
        <w:jc w:val="both"/>
      </w:pPr>
      <w:r>
        <w:rPr>
          <w:sz w:val="20"/>
        </w:rPr>
        <w:t xml:space="preserve">Долговая политика Владимирской области в 2023 - 2025 годах, как и в предыдущие периоды, будет направлена на обеспечение сбалансированности и долговой устойчивости областного бюджета посредством эффективного управления государственным долгом.</w:t>
      </w:r>
    </w:p>
    <w:p>
      <w:pPr>
        <w:pStyle w:val="0"/>
        <w:spacing w:before="200" w:line-rule="auto"/>
        <w:ind w:firstLine="540"/>
        <w:jc w:val="both"/>
      </w:pPr>
      <w:r>
        <w:rPr>
          <w:sz w:val="20"/>
        </w:rPr>
        <w:t xml:space="preserve">Целью долговой политики Владимирской области на ближайшие три года будет являться обеспечение потребностей в заемном финансировании, своевременном исполнении долговых обязательств при минимизации расходов на их обслуживание, а также поддержание объема и структуры государственного долга на экономически безопасном уровне, обеспечивающем возможность гарантированного выполнения Владимирской областью обязательств по его погашению и обслуживанию, позволяющем при этом решать задачи по достижению целей, поставленных в посланиях и указах Президента Российской Федерации.</w:t>
      </w:r>
    </w:p>
    <w:p>
      <w:pPr>
        <w:pStyle w:val="0"/>
        <w:spacing w:before="200" w:line-rule="auto"/>
        <w:ind w:firstLine="540"/>
        <w:jc w:val="both"/>
      </w:pPr>
      <w:r>
        <w:rPr>
          <w:sz w:val="20"/>
        </w:rPr>
        <w:t xml:space="preserve">Задачами долговой политики Владимирской области в 2023 - 2025 годах будут являться:</w:t>
      </w:r>
    </w:p>
    <w:p>
      <w:pPr>
        <w:pStyle w:val="0"/>
        <w:spacing w:before="200" w:line-rule="auto"/>
        <w:ind w:firstLine="540"/>
        <w:jc w:val="both"/>
      </w:pPr>
      <w:r>
        <w:rPr>
          <w:sz w:val="20"/>
        </w:rPr>
        <w:t xml:space="preserve">1) выполнение условий привлечения и реструктуризации обязательств по бюджетным кредитам перед федеральным бюджетом;</w:t>
      </w:r>
    </w:p>
    <w:p>
      <w:pPr>
        <w:pStyle w:val="0"/>
        <w:spacing w:before="200" w:line-rule="auto"/>
        <w:ind w:firstLine="540"/>
        <w:jc w:val="both"/>
      </w:pPr>
      <w:r>
        <w:rPr>
          <w:sz w:val="20"/>
        </w:rPr>
        <w:t xml:space="preserve">2) поддержание структуры государственного долга и расходов на его обслуживание на оптимальном уровне;</w:t>
      </w:r>
    </w:p>
    <w:p>
      <w:pPr>
        <w:pStyle w:val="0"/>
        <w:spacing w:before="200" w:line-rule="auto"/>
        <w:ind w:firstLine="540"/>
        <w:jc w:val="both"/>
      </w:pPr>
      <w:r>
        <w:rPr>
          <w:sz w:val="20"/>
        </w:rPr>
        <w:t xml:space="preserve">3) выполнение своевременно и в полном объеме обязательств по погашению и обслуживанию государственного долга Владимирской области;</w:t>
      </w:r>
    </w:p>
    <w:p>
      <w:pPr>
        <w:pStyle w:val="0"/>
        <w:spacing w:before="200" w:line-rule="auto"/>
        <w:ind w:firstLine="540"/>
        <w:jc w:val="both"/>
      </w:pPr>
      <w:r>
        <w:rPr>
          <w:sz w:val="20"/>
        </w:rPr>
        <w:t xml:space="preserve">4) обеспечение информационной открытости проводимой долговой политики и доступности информации о государственном долге области;</w:t>
      </w:r>
    </w:p>
    <w:p>
      <w:pPr>
        <w:pStyle w:val="0"/>
        <w:spacing w:before="200" w:line-rule="auto"/>
        <w:ind w:firstLine="540"/>
        <w:jc w:val="both"/>
      </w:pPr>
      <w:r>
        <w:rPr>
          <w:sz w:val="20"/>
        </w:rPr>
        <w:t xml:space="preserve">5) обеспечение последовательности и согласованности деятельности органов исполнительной власти Владимирской области при планировании потребности в долговых заимствованиях и предоставлении государственных гарантий Владимирской области с учетом возможностей областного бюджета по обслуживанию государственного долга Владимирской области и погашению долговых обязательств;</w:t>
      </w:r>
    </w:p>
    <w:p>
      <w:pPr>
        <w:pStyle w:val="0"/>
        <w:spacing w:before="200" w:line-rule="auto"/>
        <w:ind w:firstLine="540"/>
        <w:jc w:val="both"/>
      </w:pPr>
      <w:r>
        <w:rPr>
          <w:sz w:val="20"/>
        </w:rPr>
        <w:t xml:space="preserve">6) привлечение из федерального бюджета бюджетных кредитов на финансовое обеспечение реализации инфраструктурных проектов, прошедших отбор в порядке, установленном Правительством Российской Федерации.</w:t>
      </w:r>
    </w:p>
    <w:p>
      <w:pPr>
        <w:pStyle w:val="0"/>
        <w:spacing w:before="200" w:line-rule="auto"/>
        <w:ind w:firstLine="540"/>
        <w:jc w:val="both"/>
      </w:pPr>
      <w:r>
        <w:rPr>
          <w:sz w:val="20"/>
        </w:rPr>
        <w:t xml:space="preserve">Безусловным приоритетом для Владимирской области является выполнение всех обязательств, принятых по ранее полученным из федерального бюджета бюджетным кредитам. В этой связи одной из основных задач, определяющих направления долговой политики Владимирской области на 2023 - 2025 годы, является необходимость выполнения условий заключенных с Министерством финансов Российской Федерации соглашений о предоставлении бюджету Владимирской области из федерального бюджета бюджетных кредитов:</w:t>
      </w:r>
    </w:p>
    <w:p>
      <w:pPr>
        <w:pStyle w:val="0"/>
        <w:spacing w:before="200" w:line-rule="auto"/>
        <w:ind w:firstLine="540"/>
        <w:jc w:val="both"/>
      </w:pPr>
      <w:r>
        <w:rPr>
          <w:sz w:val="20"/>
        </w:rPr>
        <w:t xml:space="preserve">1) обеспечение доли общего объема долговых обязательств Владимирской области, в том числе по долговым обязательствам по государственным ценным бумагам субъекта Российской Федерации и кредитам, полученным субъектом Российской Федерации от кредитных организаций, иностранных банков и международных финансовых организаций:</w:t>
      </w:r>
    </w:p>
    <w:p>
      <w:pPr>
        <w:pStyle w:val="0"/>
        <w:spacing w:before="200" w:line-rule="auto"/>
        <w:ind w:firstLine="540"/>
        <w:jc w:val="both"/>
      </w:pPr>
      <w:r>
        <w:rPr>
          <w:sz w:val="20"/>
        </w:rPr>
        <w:t xml:space="preserve">- к 1 января 2023 года - не более 14% от суммы доходов бюджета субъекта Российской Федерации без учета безвозмездных поступлений за 2022 год, в том числе "коммерческого" долга - не более 6% от суммы доходов бюджета субъекта Российской Федерации без учета безвозмездных поступлений за 2022 год;</w:t>
      </w:r>
    </w:p>
    <w:p>
      <w:pPr>
        <w:pStyle w:val="0"/>
        <w:spacing w:before="200" w:line-rule="auto"/>
        <w:ind w:firstLine="540"/>
        <w:jc w:val="both"/>
      </w:pPr>
      <w:r>
        <w:rPr>
          <w:sz w:val="20"/>
        </w:rPr>
        <w:t xml:space="preserve">- к 1 января 2024 года - не более 14% от суммы доходов бюджета субъекта Российской Федерации без учета безвозмездных поступлений за 2023 год, в том числе "коммерческого" долга - не более 7% от суммы доходов бюджета субъекта Российской Федерации без учета безвозмездных поступлений за 2023 год;</w:t>
      </w:r>
    </w:p>
    <w:p>
      <w:pPr>
        <w:pStyle w:val="0"/>
        <w:spacing w:before="200" w:line-rule="auto"/>
        <w:ind w:firstLine="540"/>
        <w:jc w:val="both"/>
      </w:pPr>
      <w:r>
        <w:rPr>
          <w:sz w:val="20"/>
        </w:rPr>
        <w:t xml:space="preserve">- к 1 января 2025 года и к 1 января 2026 года - не более 14% от суммы доходов бюджета субъекта Российской Федерации без учета безвозмездных поступлений за 2024 год и 2025 год соответственно, в том числе "коммерческого" долга - не более 8% от суммы доходов бюджета субъекта Российской Федерации без учета безвозмездных поступлений за 2024 год и 2025 год соответственно;</w:t>
      </w:r>
    </w:p>
    <w:p>
      <w:pPr>
        <w:pStyle w:val="0"/>
        <w:spacing w:before="200" w:line-rule="auto"/>
        <w:ind w:firstLine="540"/>
        <w:jc w:val="both"/>
      </w:pPr>
      <w:r>
        <w:rPr>
          <w:sz w:val="20"/>
        </w:rPr>
        <w:t xml:space="preserve">2) обеспечение привлечения в областной бюджет кредитов от кредитных организаций, иностранных банков и международных финансовых организаций исключительно по ставкам на уровне не более чем уровень ключевой ставки, установленный Центральным банком Российской Федерации, увеличенный на 1 процент годовых;</w:t>
      </w:r>
    </w:p>
    <w:p>
      <w:pPr>
        <w:pStyle w:val="0"/>
        <w:spacing w:before="200" w:line-rule="auto"/>
        <w:ind w:firstLine="540"/>
        <w:jc w:val="both"/>
      </w:pPr>
      <w:r>
        <w:rPr>
          <w:sz w:val="20"/>
        </w:rPr>
        <w:t xml:space="preserve">3) установление одним из условий предоставления бюджетных кредитов из областного бюджета муниципальным образованиям области и проведения реструктуризации обязательств (задолженности) по ним ограничения ставок по кредитам, полученным муниципальным образованием от кредитных организаций, на уровне не более ключевой ставки, установленной Центральным банком Российской Федерации, увеличенной на 1 процент годовых;</w:t>
      </w:r>
    </w:p>
    <w:p>
      <w:pPr>
        <w:pStyle w:val="0"/>
        <w:spacing w:before="200" w:line-rule="auto"/>
        <w:ind w:firstLine="540"/>
        <w:jc w:val="both"/>
      </w:pPr>
      <w:r>
        <w:rPr>
          <w:sz w:val="20"/>
        </w:rPr>
        <w:t xml:space="preserve">4) обеспечение дефицита областного бюджета в 2023, 2024 и 2025 годах на уровне не более 10% суммы доходов областного бюджета без учета объема безвозмездных поступлений. Утвержденный законом области об областном бюджете и сложившийся по данным годового отчета об исполнении бюджета дефицит областного бюджета в 2023 - 2025 годах может превысить показатель на сумму поступлений, предусмотренных </w:t>
      </w:r>
      <w:hyperlink w:history="0" r:id="rId72"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92.1</w:t>
        </w:r>
      </w:hyperlink>
      <w:r>
        <w:rPr>
          <w:sz w:val="20"/>
        </w:rPr>
        <w:t xml:space="preserve"> Бюджетного кодекса Российской Федерации (продажа акций и иных форм участия в капитале, находящихся в собственности Владимирской области; снижение остатков средств на счетах по учету средств областного бюджета, в том числе средств резервного фонда администрации области; бюджетные ассигнования, направленные на реализацию инфраструктурных проектов, источником финансового обеспечения которых являются бюджетные кредиты федерального бюджета на эти цели);</w:t>
      </w:r>
    </w:p>
    <w:p>
      <w:pPr>
        <w:pStyle w:val="0"/>
        <w:spacing w:before="200" w:line-rule="auto"/>
        <w:ind w:firstLine="540"/>
        <w:jc w:val="both"/>
      </w:pPr>
      <w:r>
        <w:rPr>
          <w:sz w:val="20"/>
        </w:rPr>
        <w:t xml:space="preserve">5) сохранение предельного объема расходов на обслуживание государственного долга Владимирской области в размере не более 5% в общем объеме расходов областного бюджета;</w:t>
      </w:r>
    </w:p>
    <w:p>
      <w:pPr>
        <w:pStyle w:val="0"/>
        <w:spacing w:before="200" w:line-rule="auto"/>
        <w:ind w:firstLine="540"/>
        <w:jc w:val="both"/>
      </w:pPr>
      <w:r>
        <w:rPr>
          <w:sz w:val="20"/>
        </w:rPr>
        <w:t xml:space="preserve">6) равномерное распределение долговой нагрузки на областной бюджет;</w:t>
      </w:r>
    </w:p>
    <w:p>
      <w:pPr>
        <w:pStyle w:val="0"/>
        <w:spacing w:before="200" w:line-rule="auto"/>
        <w:ind w:firstLine="540"/>
        <w:jc w:val="both"/>
      </w:pPr>
      <w:r>
        <w:rPr>
          <w:sz w:val="20"/>
        </w:rPr>
        <w:t xml:space="preserve">7) дальнейшая реализация </w:t>
      </w:r>
      <w:hyperlink w:history="0" r:id="rId73" w:tooltip="Постановление администрации Владимирской обл. от 23.11.2015 N 1160 (ред. от 24.08.2020) &quot;Об утверждении плана мероприятий по оздоровлению государственных финансов Владимирской области&quot; {КонсультантПлюс}">
        <w:r>
          <w:rPr>
            <w:sz w:val="20"/>
            <w:color w:val="0000ff"/>
          </w:rPr>
          <w:t xml:space="preserve">плана</w:t>
        </w:r>
      </w:hyperlink>
      <w:r>
        <w:rPr>
          <w:sz w:val="20"/>
        </w:rPr>
        <w:t xml:space="preserve"> мероприятий по оздоровлению государственных финансов Владимирской области, утвержденного постановлением администрации области от 23 ноября 2015 года N 1160 "Об утверждении плана мероприятий по оздоровлению государственных финансов Владимирской области";</w:t>
      </w:r>
    </w:p>
    <w:p>
      <w:pPr>
        <w:pStyle w:val="0"/>
        <w:spacing w:before="200" w:line-rule="auto"/>
        <w:ind w:firstLine="540"/>
        <w:jc w:val="both"/>
      </w:pPr>
      <w:r>
        <w:rPr>
          <w:sz w:val="20"/>
        </w:rPr>
        <w:t xml:space="preserve">8) выполнение постановлений Правительства Российской Федерации:</w:t>
      </w:r>
    </w:p>
    <w:p>
      <w:pPr>
        <w:pStyle w:val="0"/>
        <w:spacing w:before="200" w:line-rule="auto"/>
        <w:ind w:firstLine="540"/>
        <w:jc w:val="both"/>
      </w:pPr>
      <w:r>
        <w:rPr>
          <w:sz w:val="20"/>
        </w:rPr>
        <w:t xml:space="preserve">от 18 декабря 2012 года </w:t>
      </w:r>
      <w:hyperlink w:history="0" r:id="rId74" w:tooltip="Постановление Правительства РФ от 18.12.2012 N 1325 (ред. от 18.03.2022) &quot;О дополнительных условиях и порядке проведения реструктуризации обязательств (задолженности) субъектов Российской Федерации перед Российской Федерацией по бюджетным кредитам&quot; (вместе с &quot;Правилами проведения реструктуризации обязательств (задолженности) субъектов Российской Федерации перед Российской Федерацией по бюджетным кредитам&quot;) {КонсультантПлюс}">
        <w:r>
          <w:rPr>
            <w:sz w:val="20"/>
            <w:color w:val="0000ff"/>
          </w:rPr>
          <w:t xml:space="preserve">N 1325</w:t>
        </w:r>
      </w:hyperlink>
      <w:r>
        <w:rPr>
          <w:sz w:val="20"/>
        </w:rPr>
        <w:t xml:space="preserve"> "О дополнительных условиях и порядке проведения реструктуризации обязательств (задолженности) субъектов Российской Федерации перед Российской Федерацией по бюджетным кредитам";</w:t>
      </w:r>
    </w:p>
    <w:p>
      <w:pPr>
        <w:pStyle w:val="0"/>
        <w:spacing w:before="200" w:line-rule="auto"/>
        <w:ind w:firstLine="540"/>
        <w:jc w:val="both"/>
      </w:pPr>
      <w:r>
        <w:rPr>
          <w:sz w:val="20"/>
        </w:rPr>
        <w:t xml:space="preserve">от 30 марта 2015 года </w:t>
      </w:r>
      <w:hyperlink w:history="0" r:id="rId75" w:tooltip="Постановление Правительства РФ от 30.03.2015 N 292 (ред. от 21.04.2018) &quot;О дополнительных условиях и порядке проведения в 2015 году реструктуризации обязательств (задолженности) субъектов Российской Федерации перед Российской Федерацией по бюджетным кредитам&quot; (вместе с &quot;Правилами проведения в 2015 году реструктуризации обязательств (задолженности) субъектов Российской Федерации перед Российской Федерацией по бюджетным кредитам&quot;) {КонсультантПлюс}">
        <w:r>
          <w:rPr>
            <w:sz w:val="20"/>
            <w:color w:val="0000ff"/>
          </w:rPr>
          <w:t xml:space="preserve">N 292</w:t>
        </w:r>
      </w:hyperlink>
      <w:r>
        <w:rPr>
          <w:sz w:val="20"/>
        </w:rPr>
        <w:t xml:space="preserve"> "О дополнительных условиях и порядке проведения в 2015 году реструктуризации обязательств (задолженности) субъектов Российской Федерации перед Российской Федерацией по бюджетным кредитам";</w:t>
      </w:r>
    </w:p>
    <w:p>
      <w:pPr>
        <w:pStyle w:val="0"/>
        <w:spacing w:before="200" w:line-rule="auto"/>
        <w:ind w:firstLine="540"/>
        <w:jc w:val="both"/>
      </w:pPr>
      <w:r>
        <w:rPr>
          <w:sz w:val="20"/>
        </w:rPr>
        <w:t xml:space="preserve">от 13 декабря 2017 года </w:t>
      </w:r>
      <w:hyperlink w:history="0" r:id="rId76" w:tooltip="Постановление Правительства РФ от 13.12.2017 N 1531 (ред. от 21.09.2022) &quot;О проведении в 2017 году реструктуризации обязательств (задолженности) субъектов Российской Федерации перед Российской Федерацией по бюджетным кредитам&quot; (вместе с &quot;Правилами проведения в 2017 году реструктуризации обязательств (задолженности) субъектов Российской Федерации перед Российской Федерацией по бюджетным кредитам&quot;) ------------ Недействующая редакция {КонсультантПлюс}">
        <w:r>
          <w:rPr>
            <w:sz w:val="20"/>
            <w:color w:val="0000ff"/>
          </w:rPr>
          <w:t xml:space="preserve">N 1531</w:t>
        </w:r>
      </w:hyperlink>
      <w:r>
        <w:rPr>
          <w:sz w:val="20"/>
        </w:rPr>
        <w:t xml:space="preserve"> "О проведении в 2017 году реструктуризации обязательств (задолженности) субъектов Российской Федерации перед Российской Федерацией по бюджетным кредитам";</w:t>
      </w:r>
    </w:p>
    <w:p>
      <w:pPr>
        <w:pStyle w:val="0"/>
        <w:spacing w:before="200" w:line-rule="auto"/>
        <w:ind w:firstLine="540"/>
        <w:jc w:val="both"/>
      </w:pPr>
      <w:r>
        <w:rPr>
          <w:sz w:val="20"/>
        </w:rPr>
        <w:t xml:space="preserve">от 14 июля 2021 года </w:t>
      </w:r>
      <w:hyperlink w:history="0" r:id="rId77" w:tooltip="Постановление Правительства РФ от 14.07.2021 N 1190 (ред. от 02.04.2022) &quot;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quot; ------------ Недействующая редакция {КонсультантПлюс}">
        <w:r>
          <w:rPr>
            <w:sz w:val="20"/>
            <w:color w:val="0000ff"/>
          </w:rPr>
          <w:t xml:space="preserve">N 1190</w:t>
        </w:r>
      </w:hyperlink>
      <w:r>
        <w:rPr>
          <w:sz w:val="20"/>
        </w:rPr>
        <w:t xml:space="preserve"> "Об утверждении Правил предоставления, использования и возврата субъектами Российской Федерации бюджетных кредитов, полученных из федерального бюджета на финансовое обеспечение реализации инфраструктурных проектов".</w:t>
      </w:r>
    </w:p>
    <w:p>
      <w:pPr>
        <w:pStyle w:val="0"/>
        <w:spacing w:before="200" w:line-rule="auto"/>
        <w:ind w:firstLine="540"/>
        <w:jc w:val="both"/>
      </w:pPr>
      <w:r>
        <w:rPr>
          <w:sz w:val="20"/>
        </w:rPr>
        <w:t xml:space="preserve">Показатели по объему государственного долга и дефициту областного бюджета подлежат корректировке в случае привлечения в областной бюджет бюджетных кредитов из федерального бюджета на финансовое обеспечение реализации инфраструктурных проектов и по другим основаниям, установленным бюджетным законодательством.</w:t>
      </w:r>
    </w:p>
    <w:p>
      <w:pPr>
        <w:pStyle w:val="0"/>
        <w:spacing w:before="200" w:line-rule="auto"/>
        <w:ind w:firstLine="540"/>
        <w:jc w:val="both"/>
      </w:pPr>
      <w:r>
        <w:rPr>
          <w:sz w:val="20"/>
        </w:rPr>
        <w:t xml:space="preserve">Погашение в федеральный бюджет обязательств по бюджетным кредитам будет осуществляться в соответствии с установленными графиками:</w:t>
      </w:r>
    </w:p>
    <w:p>
      <w:pPr>
        <w:pStyle w:val="0"/>
        <w:spacing w:before="200" w:line-rule="auto"/>
        <w:ind w:firstLine="540"/>
        <w:jc w:val="both"/>
      </w:pPr>
      <w:r>
        <w:rPr>
          <w:sz w:val="20"/>
        </w:rPr>
        <w:t xml:space="preserve">- реструктуризированные долговые обязательства - в 2023 и 2024 годах ежегодно по 135 млн. рублей; в 2025 году - 524,2 млн. рублей;</w:t>
      </w:r>
    </w:p>
    <w:p>
      <w:pPr>
        <w:pStyle w:val="0"/>
        <w:spacing w:before="200" w:line-rule="auto"/>
        <w:ind w:firstLine="540"/>
        <w:jc w:val="both"/>
      </w:pPr>
      <w:r>
        <w:rPr>
          <w:sz w:val="20"/>
        </w:rPr>
        <w:t xml:space="preserve">- бюджетные кредиты на финансовое обеспечение реализации инфраструктурных проектов, полученные из федерального бюджета в 2022 году, - в 2024 и 2025 годах по 167,6 млн. рублей ежегодно;</w:t>
      </w:r>
    </w:p>
    <w:p>
      <w:pPr>
        <w:pStyle w:val="0"/>
        <w:spacing w:before="200" w:line-rule="auto"/>
        <w:ind w:firstLine="540"/>
        <w:jc w:val="both"/>
      </w:pPr>
      <w:r>
        <w:rPr>
          <w:sz w:val="20"/>
        </w:rPr>
        <w:t xml:space="preserve">- бюджетные кредиты на погашение долга муниципальных образований области перед кредитными организациями - в 2025 году 151,6 млн. рублей.</w:t>
      </w:r>
    </w:p>
    <w:p>
      <w:pPr>
        <w:pStyle w:val="0"/>
        <w:spacing w:before="200" w:line-rule="auto"/>
        <w:ind w:firstLine="540"/>
        <w:jc w:val="both"/>
      </w:pPr>
      <w:r>
        <w:rPr>
          <w:sz w:val="20"/>
        </w:rPr>
        <w:t xml:space="preserve">В период с 2022 по 2024 годы будет продолжена оценка долговой устойчивости муниципальных образований Владимирской области на основании </w:t>
      </w:r>
      <w:hyperlink w:history="0" r:id="rId78" w:tooltip="Постановление администрации Владимирской обл. от 07.07.2020 N 425 (ред. от 18.03.2022) &quot;О Порядке оценки долговой устойчивости муниципального образования Владимирской области&quot; {КонсультантПлюс}">
        <w:r>
          <w:rPr>
            <w:sz w:val="20"/>
            <w:color w:val="0000ff"/>
          </w:rPr>
          <w:t xml:space="preserve">постановления</w:t>
        </w:r>
      </w:hyperlink>
      <w:r>
        <w:rPr>
          <w:sz w:val="20"/>
        </w:rPr>
        <w:t xml:space="preserve"> администрации Владимирской области от 7 июля 2020 года N 425 "О Порядке оценки долговой устойчивости муниципального образования Владимирской области".</w:t>
      </w:r>
    </w:p>
    <w:p>
      <w:pPr>
        <w:pStyle w:val="0"/>
        <w:jc w:val="both"/>
      </w:pPr>
      <w:r>
        <w:rPr>
          <w:sz w:val="20"/>
        </w:rPr>
      </w:r>
    </w:p>
    <w:p>
      <w:pPr>
        <w:pStyle w:val="2"/>
        <w:outlineLvl w:val="1"/>
        <w:jc w:val="center"/>
      </w:pPr>
      <w:r>
        <w:rPr>
          <w:sz w:val="20"/>
        </w:rPr>
        <w:t xml:space="preserve">4. Инструменты реализации долговой политики</w:t>
      </w:r>
    </w:p>
    <w:p>
      <w:pPr>
        <w:pStyle w:val="2"/>
        <w:jc w:val="center"/>
      </w:pPr>
      <w:r>
        <w:rPr>
          <w:sz w:val="20"/>
        </w:rPr>
        <w:t xml:space="preserve">Владимирской области</w:t>
      </w:r>
    </w:p>
    <w:p>
      <w:pPr>
        <w:pStyle w:val="0"/>
        <w:jc w:val="both"/>
      </w:pPr>
      <w:r>
        <w:rPr>
          <w:sz w:val="20"/>
        </w:rPr>
      </w:r>
    </w:p>
    <w:p>
      <w:pPr>
        <w:pStyle w:val="0"/>
        <w:ind w:firstLine="540"/>
        <w:jc w:val="both"/>
      </w:pPr>
      <w:r>
        <w:rPr>
          <w:sz w:val="20"/>
        </w:rPr>
        <w:t xml:space="preserve">Обеспечение сбалансированности областного бюджета при одновременном обеспечении непревышения установленных показателей по объему государственного долга области и минимизации расходов на обслуживание долговых обязательств предполагает использование следующих долговых инструментов.</w:t>
      </w:r>
    </w:p>
    <w:p>
      <w:pPr>
        <w:pStyle w:val="0"/>
        <w:jc w:val="both"/>
      </w:pPr>
      <w:r>
        <w:rPr>
          <w:sz w:val="20"/>
        </w:rPr>
      </w:r>
    </w:p>
    <w:p>
      <w:pPr>
        <w:pStyle w:val="2"/>
        <w:outlineLvl w:val="2"/>
        <w:jc w:val="center"/>
      </w:pPr>
      <w:r>
        <w:rPr>
          <w:sz w:val="20"/>
        </w:rPr>
        <w:t xml:space="preserve">4.1. Кредиты от кредитных организаций</w:t>
      </w:r>
    </w:p>
    <w:p>
      <w:pPr>
        <w:pStyle w:val="0"/>
        <w:jc w:val="both"/>
      </w:pPr>
      <w:r>
        <w:rPr>
          <w:sz w:val="20"/>
        </w:rPr>
      </w:r>
    </w:p>
    <w:p>
      <w:pPr>
        <w:pStyle w:val="0"/>
        <w:ind w:firstLine="540"/>
        <w:jc w:val="both"/>
      </w:pPr>
      <w:r>
        <w:rPr>
          <w:sz w:val="20"/>
        </w:rPr>
        <w:t xml:space="preserve">Кредиты от кредитных организаций являются основным источником финансирования дефицита областного бюджета и погашения государственного долга области. Использование данного инструмента долговой политики целесообразно при незначительных объемах заимствований, которые планирует осуществлять Владимирская область. Ключевой задачей на данном этапе остается обеспечение привлечения в областной бюджет кредитов от кредитных организаций по ставкам на уровне не более чем уровень ключевой ставки, установленный Центральным банком Российской Федерации, увеличенный на 1% годовых.</w:t>
      </w:r>
    </w:p>
    <w:p>
      <w:pPr>
        <w:pStyle w:val="0"/>
        <w:spacing w:before="200" w:line-rule="auto"/>
        <w:ind w:firstLine="540"/>
        <w:jc w:val="both"/>
      </w:pPr>
      <w:r>
        <w:rPr>
          <w:sz w:val="20"/>
        </w:rPr>
        <w:t xml:space="preserve">Мониторинг кредитного рынка с целью определения оптимальных параметров привлечения заемных ресурсов будет осуществляться Департаментом финансов Владимирской области.</w:t>
      </w:r>
    </w:p>
    <w:p>
      <w:pPr>
        <w:pStyle w:val="0"/>
        <w:jc w:val="both"/>
      </w:pPr>
      <w:r>
        <w:rPr>
          <w:sz w:val="20"/>
        </w:rPr>
      </w:r>
    </w:p>
    <w:p>
      <w:pPr>
        <w:pStyle w:val="2"/>
        <w:outlineLvl w:val="2"/>
        <w:jc w:val="center"/>
      </w:pPr>
      <w:r>
        <w:rPr>
          <w:sz w:val="20"/>
        </w:rPr>
        <w:t xml:space="preserve">4.2. Использование краткосрочных бюджетных кредитов</w:t>
      </w:r>
    </w:p>
    <w:p>
      <w:pPr>
        <w:pStyle w:val="2"/>
        <w:jc w:val="center"/>
      </w:pPr>
      <w:r>
        <w:rPr>
          <w:sz w:val="20"/>
        </w:rPr>
        <w:t xml:space="preserve">на пополнение остатка средств на едином счете бюджета</w:t>
      </w:r>
    </w:p>
    <w:p>
      <w:pPr>
        <w:pStyle w:val="0"/>
        <w:jc w:val="both"/>
      </w:pPr>
      <w:r>
        <w:rPr>
          <w:sz w:val="20"/>
        </w:rPr>
      </w:r>
    </w:p>
    <w:p>
      <w:pPr>
        <w:pStyle w:val="0"/>
        <w:ind w:firstLine="540"/>
        <w:jc w:val="both"/>
      </w:pPr>
      <w:r>
        <w:rPr>
          <w:sz w:val="20"/>
        </w:rPr>
        <w:t xml:space="preserve">Привлечение бюджетных кредитов из федерального бюджета по ставке 0,1% годовых сроком пользования до 240 дней позволит снизить сроки и объемы пользования коммерческими кредитами по более высокой ставке и, как следствие, обеспечить снижение расходов на обслуживание государственного долга.</w:t>
      </w:r>
    </w:p>
    <w:p>
      <w:pPr>
        <w:pStyle w:val="0"/>
        <w:jc w:val="both"/>
      </w:pPr>
      <w:r>
        <w:rPr>
          <w:sz w:val="20"/>
        </w:rPr>
      </w:r>
    </w:p>
    <w:p>
      <w:pPr>
        <w:pStyle w:val="2"/>
        <w:outlineLvl w:val="2"/>
        <w:jc w:val="center"/>
      </w:pPr>
      <w:r>
        <w:rPr>
          <w:sz w:val="20"/>
        </w:rPr>
        <w:t xml:space="preserve">4.3. Государственные гарантии Владимирской области</w:t>
      </w:r>
    </w:p>
    <w:p>
      <w:pPr>
        <w:pStyle w:val="0"/>
        <w:jc w:val="both"/>
      </w:pPr>
      <w:r>
        <w:rPr>
          <w:sz w:val="20"/>
        </w:rPr>
      </w:r>
    </w:p>
    <w:p>
      <w:pPr>
        <w:pStyle w:val="0"/>
        <w:ind w:firstLine="540"/>
        <w:jc w:val="both"/>
      </w:pPr>
      <w:r>
        <w:rPr>
          <w:sz w:val="20"/>
        </w:rPr>
        <w:t xml:space="preserve">Принятие обязательств по государственным гарантиям оказывает влияние на основные параметры областного бюджета. Объем предоставленных гарантий включается в общий объем государственного долга Владимирской области и непосредственно влияет на рост и структуру государственного долга. Исполнение обязательств по государственным гарантиям приводит к увеличению расходов областного бюджета (гарантии без права регрессного требования). Решение о наличии (отсутствии) регрессного требования гаранта к принципалу будет принято с учетом бюджетного законодательства.</w:t>
      </w:r>
    </w:p>
    <w:p>
      <w:pPr>
        <w:pStyle w:val="0"/>
        <w:spacing w:before="200" w:line-rule="auto"/>
        <w:ind w:firstLine="540"/>
        <w:jc w:val="both"/>
      </w:pPr>
      <w:r>
        <w:rPr>
          <w:sz w:val="20"/>
        </w:rPr>
        <w:t xml:space="preserve">Кроме того, государственная поддержка в виде государственных гарантий должна быть эффективной, то есть иметь положительное влияние на экономику области и предоставляться под конкретные социально-экономические задачи, например, для реализации в области новых инвестиционных проектов, что в дальнейшем повлияет на увеличение инвестиций, прибыли, валового регионального продукта и, соответственно, налогового потенциала.</w:t>
      </w:r>
    </w:p>
    <w:p>
      <w:pPr>
        <w:pStyle w:val="0"/>
        <w:spacing w:before="200" w:line-rule="auto"/>
        <w:ind w:firstLine="540"/>
        <w:jc w:val="both"/>
      </w:pPr>
      <w:r>
        <w:rPr>
          <w:sz w:val="20"/>
        </w:rPr>
        <w:t xml:space="preserve">В связи с этим значимым становится предоставление государственных гарантий по обязательствам юридических лиц по договорам займа, заключенным в соответствии с </w:t>
      </w:r>
      <w:hyperlink w:history="0" r:id="rId79" w:tooltip="Постановление Правительства РФ от 31.12.2020 N 2459 (ред. от 22.08.2022) &quot;Об утверждении Правил финансирования проектов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quot; {КонсультантПлюс}">
        <w:r>
          <w:rPr>
            <w:sz w:val="20"/>
            <w:color w:val="0000ff"/>
          </w:rPr>
          <w:t xml:space="preserve">Правилами</w:t>
        </w:r>
      </w:hyperlink>
      <w:r>
        <w:rPr>
          <w:sz w:val="20"/>
        </w:rPr>
        <w:t xml:space="preserve"> финансирования строительства (реконструкции) объектов инфраструктуры с использованием облигаций специализированных обществ проектного финансирования, утвержденными постановлением Правительства Российской Федерации от 31 декабря 2020 года N 2459 "Об утверждении Правил финансирования строительства (реконструкции) объектов инфраструктуры с использованием облигаций специализированных обществ проектного финансирования и о внесении изменения в Положение о Правительственной комиссии по региональному развитию в Российской Федерации".</w:t>
      </w:r>
    </w:p>
    <w:p>
      <w:pPr>
        <w:pStyle w:val="0"/>
        <w:jc w:val="both"/>
      </w:pPr>
      <w:r>
        <w:rPr>
          <w:sz w:val="20"/>
        </w:rPr>
      </w:r>
    </w:p>
    <w:p>
      <w:pPr>
        <w:pStyle w:val="2"/>
        <w:outlineLvl w:val="2"/>
        <w:jc w:val="center"/>
      </w:pPr>
      <w:r>
        <w:rPr>
          <w:sz w:val="20"/>
        </w:rPr>
        <w:t xml:space="preserve">4.4. Бюджетные кредиты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ind w:firstLine="540"/>
        <w:jc w:val="both"/>
      </w:pPr>
      <w:r>
        <w:rPr>
          <w:sz w:val="20"/>
        </w:rPr>
        <w:t xml:space="preserve">В целом сумма бюджетных кредитов, предоставляемых из федерального бюджета на реализацию в области инфраструктурных проектов, составит в 2022 и 2023 годах 5644,7 млн. рублей, в том числе в 2022 году - 2346,7 млн. рублей, в 2023 году - 3297,9 млн. рублей. С учетом заявок, направленных в 2022 году для отбора проектов на конкурсной основе, сумма бюджетного кредита, предоставленного в 2024 - 2025 годах из федерального бюджета на реализацию в области инфраструктурных проектов, составит 1835,4 млн. рублей, в том числе в 2024 году - 1250,4 млн. рублей, в 2025 году - 585 млн. рублей. Всего сумма привлеченных из федерального бюджета бюджетных кредитов на финансовое обеспечение реализации инфраструктурных проектов в регионе по итогам 2022 - 2025 годов прогнозируется в сумме 7470,1 млн. рублей.</w:t>
      </w:r>
    </w:p>
    <w:p>
      <w:pPr>
        <w:pStyle w:val="0"/>
        <w:spacing w:before="200" w:line-rule="auto"/>
        <w:ind w:firstLine="540"/>
        <w:jc w:val="both"/>
      </w:pPr>
      <w:r>
        <w:rPr>
          <w:sz w:val="20"/>
        </w:rPr>
        <w:t xml:space="preserve">Бюджетные кредиты на финансовое обеспечение реализации инфраструктурных проектов привлекаются под ставку 3% годовых и сроком на 15 лет. Реализация в области инфраструктурных проектов с участием привлеченных бюджетных кредитов имеет региональный эффект, позволяющий за счет увеличения налоговых поступлений в консолидированный бюджет области погашать и обслуживать данные заимствования.</w:t>
      </w:r>
    </w:p>
    <w:p>
      <w:pPr>
        <w:pStyle w:val="0"/>
        <w:jc w:val="both"/>
      </w:pPr>
      <w:r>
        <w:rPr>
          <w:sz w:val="20"/>
        </w:rPr>
      </w:r>
    </w:p>
    <w:p>
      <w:pPr>
        <w:pStyle w:val="2"/>
        <w:outlineLvl w:val="1"/>
        <w:jc w:val="center"/>
      </w:pPr>
      <w:r>
        <w:rPr>
          <w:sz w:val="20"/>
        </w:rPr>
        <w:t xml:space="preserve">5. Анализ рисков для областного бюджета,</w:t>
      </w:r>
    </w:p>
    <w:p>
      <w:pPr>
        <w:pStyle w:val="2"/>
        <w:jc w:val="center"/>
      </w:pPr>
      <w:r>
        <w:rPr>
          <w:sz w:val="20"/>
        </w:rPr>
        <w:t xml:space="preserve">возникающих в процессе управления государственным долгом</w:t>
      </w:r>
    </w:p>
    <w:p>
      <w:pPr>
        <w:pStyle w:val="2"/>
        <w:jc w:val="center"/>
      </w:pPr>
      <w:r>
        <w:rPr>
          <w:sz w:val="20"/>
        </w:rPr>
        <w:t xml:space="preserve">Владимирской области</w:t>
      </w:r>
    </w:p>
    <w:p>
      <w:pPr>
        <w:pStyle w:val="0"/>
        <w:jc w:val="both"/>
      </w:pPr>
      <w:r>
        <w:rPr>
          <w:sz w:val="20"/>
        </w:rPr>
      </w:r>
    </w:p>
    <w:p>
      <w:pPr>
        <w:pStyle w:val="0"/>
        <w:ind w:firstLine="540"/>
        <w:jc w:val="both"/>
      </w:pPr>
      <w:r>
        <w:rPr>
          <w:sz w:val="20"/>
        </w:rPr>
        <w:t xml:space="preserve">Важное место в достижении целей долговой политики области занимает оценка потенциальных рисков, возникающих в процессе ее реализации. Основными рисками при управлении государственным долгом Владимирской области являются:</w:t>
      </w:r>
    </w:p>
    <w:p>
      <w:pPr>
        <w:pStyle w:val="0"/>
        <w:spacing w:before="200" w:line-rule="auto"/>
        <w:ind w:firstLine="540"/>
        <w:jc w:val="both"/>
      </w:pPr>
      <w:r>
        <w:rPr>
          <w:sz w:val="20"/>
        </w:rPr>
        <w:t xml:space="preserve">1) риск недостижения планируемых объемов поступлений доходов областного бюджета, поскольку недопоступление доходов потребует поиск альтернативных источников для выполнения расходных и долговых обязательств бюджета и обеспечения его сбалансированности;</w:t>
      </w:r>
    </w:p>
    <w:p>
      <w:pPr>
        <w:pStyle w:val="0"/>
        <w:spacing w:before="200" w:line-rule="auto"/>
        <w:ind w:firstLine="540"/>
        <w:jc w:val="both"/>
      </w:pPr>
      <w:r>
        <w:rPr>
          <w:sz w:val="20"/>
        </w:rPr>
        <w:t xml:space="preserve">2) процентный риск - вероятность увеличения суммы расходов областного бюджета на обслуживание государственного долга вследствие увеличения Центробанком России ключевой ставки и (или) роста объемов привлечения кредитов для выполнения расходных обязательств;</w:t>
      </w:r>
    </w:p>
    <w:p>
      <w:pPr>
        <w:pStyle w:val="0"/>
        <w:spacing w:before="200" w:line-rule="auto"/>
        <w:ind w:firstLine="540"/>
        <w:jc w:val="both"/>
      </w:pPr>
      <w:r>
        <w:rPr>
          <w:sz w:val="20"/>
        </w:rPr>
        <w:t xml:space="preserve">3) риск рефинансирования - вероятность потерь вследствие невыгодных условий привлечения заимствований на вынужденное рефинансирование уже имеющихся обязательств;</w:t>
      </w:r>
    </w:p>
    <w:p>
      <w:pPr>
        <w:pStyle w:val="0"/>
        <w:spacing w:before="200" w:line-rule="auto"/>
        <w:ind w:firstLine="540"/>
        <w:jc w:val="both"/>
      </w:pPr>
      <w:r>
        <w:rPr>
          <w:sz w:val="20"/>
        </w:rPr>
        <w:t xml:space="preserve">4) риск ликвидности - отсутствие в областном бюджете средств для полного исполнения в срок расходных и долговых обязательств региона, в том числе по причине отсутствия участников в аукционах по привлечению кредитных ресурсов;</w:t>
      </w:r>
    </w:p>
    <w:p>
      <w:pPr>
        <w:pStyle w:val="0"/>
        <w:spacing w:before="200" w:line-rule="auto"/>
        <w:ind w:firstLine="540"/>
        <w:jc w:val="both"/>
      </w:pPr>
      <w:r>
        <w:rPr>
          <w:sz w:val="20"/>
        </w:rPr>
        <w:t xml:space="preserve">5) риск наступления гарантийного случая - возникновение задолженности принципалов по обязательствам, которые были гарантированы Владимирской областью.</w:t>
      </w:r>
    </w:p>
    <w:p>
      <w:pPr>
        <w:pStyle w:val="0"/>
        <w:spacing w:before="200" w:line-rule="auto"/>
        <w:ind w:firstLine="540"/>
        <w:jc w:val="both"/>
      </w:pPr>
      <w:r>
        <w:rPr>
          <w:sz w:val="20"/>
        </w:rPr>
        <w:t xml:space="preserve">Основной мерой, принимаемой в отношении управления рисками, связанными с реализацией долговой политики Владимирской области, является осуществление достоверного прогнозирования доходов областного бюджета и поступлений по источникам финансирования дефицита областного бюджета, а также принятие взвешенных и экономически обоснованных решений по принятию долговых обязательств Владимирской областью.</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839" w:name="P839"/>
    <w:bookmarkEnd w:id="839"/>
    <w:p>
      <w:pPr>
        <w:pStyle w:val="2"/>
        <w:jc w:val="center"/>
      </w:pPr>
      <w:r>
        <w:rPr>
          <w:sz w:val="20"/>
        </w:rPr>
        <w:t xml:space="preserve">ОСНОВНЫЕ ПОКАЗАТЕЛИ</w:t>
      </w:r>
    </w:p>
    <w:p>
      <w:pPr>
        <w:pStyle w:val="2"/>
        <w:jc w:val="center"/>
      </w:pPr>
      <w:r>
        <w:rPr>
          <w:sz w:val="20"/>
        </w:rPr>
        <w:t xml:space="preserve">КОНСОЛИДИРОВАННОГО БЮДЖЕТА ВЛАДИМИРСКОЙ ОБЛАСТИ</w:t>
      </w:r>
    </w:p>
    <w:p>
      <w:pPr>
        <w:pStyle w:val="2"/>
        <w:jc w:val="center"/>
      </w:pPr>
      <w:r>
        <w:rPr>
          <w:sz w:val="20"/>
        </w:rPr>
        <w:t xml:space="preserve">НА 2023 ГОД И НА ПЛАНОВЫЙ ПЕРИОД 2024 И 2025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09"/>
        <w:gridCol w:w="1587"/>
        <w:gridCol w:w="1587"/>
        <w:gridCol w:w="1587"/>
      </w:tblGrid>
      <w:tr>
        <w:tc>
          <w:tcPr>
            <w:tcW w:w="4309" w:type="dxa"/>
            <w:vMerge w:val="restart"/>
          </w:tcPr>
          <w:p>
            <w:pPr>
              <w:pStyle w:val="0"/>
              <w:jc w:val="center"/>
            </w:pPr>
            <w:r>
              <w:rPr>
                <w:sz w:val="20"/>
              </w:rPr>
              <w:t xml:space="preserve">Показатели</w:t>
            </w:r>
          </w:p>
        </w:tc>
        <w:tc>
          <w:tcPr>
            <w:gridSpan w:val="3"/>
            <w:tcW w:w="4761" w:type="dxa"/>
          </w:tcPr>
          <w:p>
            <w:pPr>
              <w:pStyle w:val="0"/>
              <w:jc w:val="center"/>
            </w:pPr>
            <w:r>
              <w:rPr>
                <w:sz w:val="20"/>
              </w:rPr>
              <w:t xml:space="preserve">Объем в тыс. рублей</w:t>
            </w:r>
          </w:p>
        </w:tc>
      </w:tr>
      <w:tr>
        <w:tc>
          <w:tcPr>
            <w:vMerge w:val="continue"/>
          </w:tcPr>
          <w:p/>
        </w:tc>
        <w:tc>
          <w:tcPr>
            <w:tcW w:w="1587" w:type="dxa"/>
          </w:tcPr>
          <w:p>
            <w:pPr>
              <w:pStyle w:val="0"/>
              <w:jc w:val="center"/>
            </w:pPr>
            <w:r>
              <w:rPr>
                <w:sz w:val="20"/>
              </w:rPr>
              <w:t xml:space="preserve">2023 год</w:t>
            </w:r>
          </w:p>
        </w:tc>
        <w:tc>
          <w:tcPr>
            <w:tcW w:w="1587" w:type="dxa"/>
          </w:tcPr>
          <w:p>
            <w:pPr>
              <w:pStyle w:val="0"/>
              <w:jc w:val="center"/>
            </w:pPr>
            <w:r>
              <w:rPr>
                <w:sz w:val="20"/>
              </w:rPr>
              <w:t xml:space="preserve">2024 год</w:t>
            </w:r>
          </w:p>
        </w:tc>
        <w:tc>
          <w:tcPr>
            <w:tcW w:w="1587" w:type="dxa"/>
          </w:tcPr>
          <w:p>
            <w:pPr>
              <w:pStyle w:val="0"/>
              <w:jc w:val="center"/>
            </w:pPr>
            <w:r>
              <w:rPr>
                <w:sz w:val="20"/>
              </w:rPr>
              <w:t xml:space="preserve">2025 год</w:t>
            </w:r>
          </w:p>
        </w:tc>
      </w:tr>
      <w:tr>
        <w:tc>
          <w:tcPr>
            <w:gridSpan w:val="4"/>
            <w:tcW w:w="9070" w:type="dxa"/>
          </w:tcPr>
          <w:p>
            <w:pPr>
              <w:pStyle w:val="0"/>
              <w:jc w:val="center"/>
            </w:pPr>
            <w:r>
              <w:rPr>
                <w:sz w:val="20"/>
              </w:rPr>
              <w:t xml:space="preserve">Консолидированный бюджет Владимирской области</w:t>
            </w:r>
          </w:p>
        </w:tc>
      </w:tr>
      <w:tr>
        <w:tc>
          <w:tcPr>
            <w:tcW w:w="4309" w:type="dxa"/>
          </w:tcPr>
          <w:p>
            <w:pPr>
              <w:pStyle w:val="0"/>
            </w:pPr>
            <w:r>
              <w:rPr>
                <w:sz w:val="20"/>
              </w:rPr>
              <w:t xml:space="preserve">Доходы - всего</w:t>
            </w:r>
          </w:p>
        </w:tc>
        <w:tc>
          <w:tcPr>
            <w:tcW w:w="1587" w:type="dxa"/>
          </w:tcPr>
          <w:p>
            <w:pPr>
              <w:pStyle w:val="0"/>
              <w:jc w:val="center"/>
            </w:pPr>
            <w:r>
              <w:rPr>
                <w:sz w:val="20"/>
              </w:rPr>
              <w:t xml:space="preserve">96729742,6</w:t>
            </w:r>
          </w:p>
        </w:tc>
        <w:tc>
          <w:tcPr>
            <w:tcW w:w="1587" w:type="dxa"/>
          </w:tcPr>
          <w:p>
            <w:pPr>
              <w:pStyle w:val="0"/>
              <w:jc w:val="center"/>
            </w:pPr>
            <w:r>
              <w:rPr>
                <w:sz w:val="20"/>
              </w:rPr>
              <w:t xml:space="preserve">100273414,6</w:t>
            </w:r>
          </w:p>
        </w:tc>
        <w:tc>
          <w:tcPr>
            <w:tcW w:w="1587" w:type="dxa"/>
          </w:tcPr>
          <w:p>
            <w:pPr>
              <w:pStyle w:val="0"/>
              <w:jc w:val="center"/>
            </w:pPr>
            <w:r>
              <w:rPr>
                <w:sz w:val="20"/>
              </w:rPr>
              <w:t xml:space="preserve">101543879,6</w:t>
            </w:r>
          </w:p>
        </w:tc>
      </w:tr>
      <w:tr>
        <w:tc>
          <w:tcPr>
            <w:tcW w:w="4309" w:type="dxa"/>
          </w:tcPr>
          <w:p>
            <w:pPr>
              <w:pStyle w:val="0"/>
            </w:pPr>
            <w:r>
              <w:rPr>
                <w:sz w:val="20"/>
              </w:rPr>
              <w:t xml:space="preserve">в том числе:</w:t>
            </w:r>
          </w:p>
        </w:tc>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r>
      <w:tr>
        <w:tc>
          <w:tcPr>
            <w:tcW w:w="4309" w:type="dxa"/>
          </w:tcPr>
          <w:p>
            <w:pPr>
              <w:pStyle w:val="0"/>
            </w:pPr>
            <w:r>
              <w:rPr>
                <w:sz w:val="20"/>
              </w:rPr>
              <w:t xml:space="preserve">налоговые и неналоговые доходы</w:t>
            </w:r>
          </w:p>
        </w:tc>
        <w:tc>
          <w:tcPr>
            <w:tcW w:w="1587" w:type="dxa"/>
          </w:tcPr>
          <w:p>
            <w:pPr>
              <w:pStyle w:val="0"/>
              <w:jc w:val="center"/>
            </w:pPr>
            <w:r>
              <w:rPr>
                <w:sz w:val="20"/>
              </w:rPr>
              <w:t xml:space="preserve">76290175,1</w:t>
            </w:r>
          </w:p>
        </w:tc>
        <w:tc>
          <w:tcPr>
            <w:tcW w:w="1587" w:type="dxa"/>
          </w:tcPr>
          <w:p>
            <w:pPr>
              <w:pStyle w:val="0"/>
              <w:jc w:val="center"/>
            </w:pPr>
            <w:r>
              <w:rPr>
                <w:sz w:val="20"/>
              </w:rPr>
              <w:t xml:space="preserve">80173327,4</w:t>
            </w:r>
          </w:p>
        </w:tc>
        <w:tc>
          <w:tcPr>
            <w:tcW w:w="1587" w:type="dxa"/>
          </w:tcPr>
          <w:p>
            <w:pPr>
              <w:pStyle w:val="0"/>
              <w:jc w:val="center"/>
            </w:pPr>
            <w:r>
              <w:rPr>
                <w:sz w:val="20"/>
              </w:rPr>
              <w:t xml:space="preserve">83859158,4</w:t>
            </w:r>
          </w:p>
        </w:tc>
      </w:tr>
      <w:tr>
        <w:tc>
          <w:tcPr>
            <w:tcW w:w="4309" w:type="dxa"/>
          </w:tcPr>
          <w:p>
            <w:pPr>
              <w:pStyle w:val="0"/>
            </w:pPr>
            <w:r>
              <w:rPr>
                <w:sz w:val="20"/>
              </w:rPr>
              <w:t xml:space="preserve">безвозмездные поступления</w:t>
            </w:r>
          </w:p>
        </w:tc>
        <w:tc>
          <w:tcPr>
            <w:tcW w:w="1587" w:type="dxa"/>
          </w:tcPr>
          <w:p>
            <w:pPr>
              <w:pStyle w:val="0"/>
              <w:jc w:val="center"/>
            </w:pPr>
            <w:r>
              <w:rPr>
                <w:sz w:val="20"/>
              </w:rPr>
              <w:t xml:space="preserve">20439567,5</w:t>
            </w:r>
          </w:p>
        </w:tc>
        <w:tc>
          <w:tcPr>
            <w:tcW w:w="1587" w:type="dxa"/>
          </w:tcPr>
          <w:p>
            <w:pPr>
              <w:pStyle w:val="0"/>
              <w:jc w:val="center"/>
            </w:pPr>
            <w:r>
              <w:rPr>
                <w:sz w:val="20"/>
              </w:rPr>
              <w:t xml:space="preserve">20100087,2</w:t>
            </w:r>
          </w:p>
        </w:tc>
        <w:tc>
          <w:tcPr>
            <w:tcW w:w="1587" w:type="dxa"/>
          </w:tcPr>
          <w:p>
            <w:pPr>
              <w:pStyle w:val="0"/>
              <w:jc w:val="center"/>
            </w:pPr>
            <w:r>
              <w:rPr>
                <w:sz w:val="20"/>
              </w:rPr>
              <w:t xml:space="preserve">17684721,2</w:t>
            </w:r>
          </w:p>
        </w:tc>
      </w:tr>
      <w:tr>
        <w:tc>
          <w:tcPr>
            <w:tcW w:w="4309" w:type="dxa"/>
          </w:tcPr>
          <w:p>
            <w:pPr>
              <w:pStyle w:val="0"/>
            </w:pPr>
            <w:r>
              <w:rPr>
                <w:sz w:val="20"/>
              </w:rPr>
              <w:t xml:space="preserve">Расходы - всего</w:t>
            </w:r>
          </w:p>
        </w:tc>
        <w:tc>
          <w:tcPr>
            <w:tcW w:w="1587" w:type="dxa"/>
          </w:tcPr>
          <w:p>
            <w:pPr>
              <w:pStyle w:val="0"/>
              <w:jc w:val="center"/>
            </w:pPr>
            <w:r>
              <w:rPr>
                <w:sz w:val="20"/>
              </w:rPr>
              <w:t xml:space="preserve">109407975,1</w:t>
            </w:r>
          </w:p>
        </w:tc>
        <w:tc>
          <w:tcPr>
            <w:tcW w:w="1587" w:type="dxa"/>
          </w:tcPr>
          <w:p>
            <w:pPr>
              <w:pStyle w:val="0"/>
              <w:jc w:val="center"/>
            </w:pPr>
            <w:r>
              <w:rPr>
                <w:sz w:val="20"/>
              </w:rPr>
              <w:t xml:space="preserve">107786922,4</w:t>
            </w:r>
          </w:p>
        </w:tc>
        <w:tc>
          <w:tcPr>
            <w:tcW w:w="1587" w:type="dxa"/>
          </w:tcPr>
          <w:p>
            <w:pPr>
              <w:pStyle w:val="0"/>
              <w:jc w:val="center"/>
            </w:pPr>
            <w:r>
              <w:rPr>
                <w:sz w:val="20"/>
              </w:rPr>
              <w:t xml:space="preserve">107489604,1</w:t>
            </w:r>
          </w:p>
        </w:tc>
      </w:tr>
      <w:tr>
        <w:tc>
          <w:tcPr>
            <w:tcW w:w="4309" w:type="dxa"/>
          </w:tcPr>
          <w:p>
            <w:pPr>
              <w:pStyle w:val="0"/>
            </w:pPr>
            <w:r>
              <w:rPr>
                <w:sz w:val="20"/>
              </w:rPr>
              <w:t xml:space="preserve">Дефицит</w:t>
            </w:r>
          </w:p>
        </w:tc>
        <w:tc>
          <w:tcPr>
            <w:tcW w:w="1587" w:type="dxa"/>
          </w:tcPr>
          <w:p>
            <w:pPr>
              <w:pStyle w:val="0"/>
              <w:jc w:val="center"/>
            </w:pPr>
            <w:r>
              <w:rPr>
                <w:sz w:val="20"/>
              </w:rPr>
              <w:t xml:space="preserve">-12678232,5</w:t>
            </w:r>
          </w:p>
        </w:tc>
        <w:tc>
          <w:tcPr>
            <w:tcW w:w="1587" w:type="dxa"/>
          </w:tcPr>
          <w:p>
            <w:pPr>
              <w:pStyle w:val="0"/>
              <w:jc w:val="center"/>
            </w:pPr>
            <w:r>
              <w:rPr>
                <w:sz w:val="20"/>
              </w:rPr>
              <w:t xml:space="preserve">-7513507,8</w:t>
            </w:r>
          </w:p>
        </w:tc>
        <w:tc>
          <w:tcPr>
            <w:tcW w:w="1587" w:type="dxa"/>
          </w:tcPr>
          <w:p>
            <w:pPr>
              <w:pStyle w:val="0"/>
              <w:jc w:val="center"/>
            </w:pPr>
            <w:r>
              <w:rPr>
                <w:sz w:val="20"/>
              </w:rPr>
              <w:t xml:space="preserve">-5945724,5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5</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884" w:name="P884"/>
    <w:bookmarkEnd w:id="884"/>
    <w:p>
      <w:pPr>
        <w:pStyle w:val="2"/>
        <w:jc w:val="center"/>
      </w:pPr>
      <w:r>
        <w:rPr>
          <w:sz w:val="20"/>
        </w:rPr>
        <w:t xml:space="preserve">ОСНОВНЫЕ ХАРАКТЕРИСТИКИ</w:t>
      </w:r>
    </w:p>
    <w:p>
      <w:pPr>
        <w:pStyle w:val="2"/>
        <w:jc w:val="center"/>
      </w:pPr>
      <w:r>
        <w:rPr>
          <w:sz w:val="20"/>
        </w:rPr>
        <w:t xml:space="preserve">ОБЛАСТНОГО БЮДЖЕТА НА 2023 ГОД И НА ПЛАНОВЫЙ ПЕРИОД</w:t>
      </w:r>
    </w:p>
    <w:p>
      <w:pPr>
        <w:pStyle w:val="2"/>
        <w:jc w:val="center"/>
      </w:pPr>
      <w:r>
        <w:rPr>
          <w:sz w:val="20"/>
        </w:rPr>
        <w:t xml:space="preserve">2024 И 2025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12"/>
        <w:gridCol w:w="1701"/>
        <w:gridCol w:w="1701"/>
        <w:gridCol w:w="1701"/>
      </w:tblGrid>
      <w:tr>
        <w:tc>
          <w:tcPr>
            <w:tcW w:w="3912" w:type="dxa"/>
            <w:vMerge w:val="restart"/>
          </w:tcPr>
          <w:p>
            <w:pPr>
              <w:pStyle w:val="0"/>
              <w:jc w:val="center"/>
            </w:pPr>
            <w:r>
              <w:rPr>
                <w:sz w:val="20"/>
              </w:rPr>
              <w:t xml:space="preserve">Показатели</w:t>
            </w:r>
          </w:p>
        </w:tc>
        <w:tc>
          <w:tcPr>
            <w:gridSpan w:val="3"/>
            <w:tcW w:w="5103" w:type="dxa"/>
          </w:tcPr>
          <w:p>
            <w:pPr>
              <w:pStyle w:val="0"/>
              <w:jc w:val="center"/>
            </w:pPr>
            <w:r>
              <w:rPr>
                <w:sz w:val="20"/>
              </w:rPr>
              <w:t xml:space="preserve">Объем в тыс. рублей</w:t>
            </w:r>
          </w:p>
        </w:tc>
      </w:tr>
      <w:tr>
        <w:tc>
          <w:tcPr>
            <w:vMerge w:val="continue"/>
          </w:tcPr>
          <w:p/>
        </w:tc>
        <w:tc>
          <w:tcPr>
            <w:tcW w:w="1701" w:type="dxa"/>
          </w:tcPr>
          <w:p>
            <w:pPr>
              <w:pStyle w:val="0"/>
              <w:jc w:val="center"/>
            </w:pPr>
            <w:r>
              <w:rPr>
                <w:sz w:val="20"/>
              </w:rPr>
              <w:t xml:space="preserve">2023 год</w:t>
            </w:r>
          </w:p>
        </w:tc>
        <w:tc>
          <w:tcPr>
            <w:tcW w:w="1701" w:type="dxa"/>
          </w:tcPr>
          <w:p>
            <w:pPr>
              <w:pStyle w:val="0"/>
              <w:jc w:val="center"/>
            </w:pPr>
            <w:r>
              <w:rPr>
                <w:sz w:val="20"/>
              </w:rPr>
              <w:t xml:space="preserve">2024 год</w:t>
            </w:r>
          </w:p>
        </w:tc>
        <w:tc>
          <w:tcPr>
            <w:tcW w:w="1701" w:type="dxa"/>
          </w:tcPr>
          <w:p>
            <w:pPr>
              <w:pStyle w:val="0"/>
              <w:jc w:val="center"/>
            </w:pPr>
            <w:r>
              <w:rPr>
                <w:sz w:val="20"/>
              </w:rPr>
              <w:t xml:space="preserve">2025 год</w:t>
            </w:r>
          </w:p>
        </w:tc>
      </w:tr>
      <w:tr>
        <w:tc>
          <w:tcPr>
            <w:gridSpan w:val="4"/>
            <w:tcW w:w="9015" w:type="dxa"/>
          </w:tcPr>
          <w:p>
            <w:pPr>
              <w:pStyle w:val="0"/>
              <w:jc w:val="center"/>
            </w:pPr>
            <w:r>
              <w:rPr>
                <w:sz w:val="20"/>
              </w:rPr>
              <w:t xml:space="preserve">Консолидированный бюджет Владимирской области</w:t>
            </w:r>
          </w:p>
        </w:tc>
      </w:tr>
      <w:tr>
        <w:tc>
          <w:tcPr>
            <w:tcW w:w="3912" w:type="dxa"/>
          </w:tcPr>
          <w:p>
            <w:pPr>
              <w:pStyle w:val="0"/>
            </w:pPr>
            <w:r>
              <w:rPr>
                <w:sz w:val="20"/>
              </w:rPr>
              <w:t xml:space="preserve">Доходы - всего</w:t>
            </w:r>
          </w:p>
        </w:tc>
        <w:tc>
          <w:tcPr>
            <w:tcW w:w="1701" w:type="dxa"/>
          </w:tcPr>
          <w:p>
            <w:pPr>
              <w:pStyle w:val="0"/>
              <w:jc w:val="center"/>
            </w:pPr>
            <w:r>
              <w:rPr>
                <w:sz w:val="20"/>
              </w:rPr>
              <w:t xml:space="preserve">80047272,3</w:t>
            </w:r>
          </w:p>
        </w:tc>
        <w:tc>
          <w:tcPr>
            <w:tcW w:w="1701" w:type="dxa"/>
          </w:tcPr>
          <w:p>
            <w:pPr>
              <w:pStyle w:val="0"/>
              <w:jc w:val="center"/>
            </w:pPr>
            <w:r>
              <w:rPr>
                <w:sz w:val="20"/>
              </w:rPr>
              <w:t xml:space="preserve">82745162,9</w:t>
            </w:r>
          </w:p>
        </w:tc>
        <w:tc>
          <w:tcPr>
            <w:tcW w:w="1701" w:type="dxa"/>
          </w:tcPr>
          <w:p>
            <w:pPr>
              <w:pStyle w:val="0"/>
              <w:jc w:val="center"/>
            </w:pPr>
            <w:r>
              <w:rPr>
                <w:sz w:val="20"/>
              </w:rPr>
              <w:t xml:space="preserve">82975375,7</w:t>
            </w:r>
          </w:p>
        </w:tc>
      </w:tr>
      <w:tr>
        <w:tc>
          <w:tcPr>
            <w:tcW w:w="3912" w:type="dxa"/>
          </w:tcPr>
          <w:p>
            <w:pPr>
              <w:pStyle w:val="0"/>
            </w:pPr>
            <w:r>
              <w:rPr>
                <w:sz w:val="20"/>
              </w:rPr>
              <w:t xml:space="preserve">в том числе:</w:t>
            </w:r>
          </w:p>
        </w:tc>
        <w:tc>
          <w:tcPr>
            <w:tcW w:w="1701" w:type="dxa"/>
          </w:tcPr>
          <w:p>
            <w:pPr>
              <w:pStyle w:val="0"/>
            </w:pPr>
            <w:r>
              <w:rPr>
                <w:sz w:val="20"/>
              </w:rPr>
            </w:r>
          </w:p>
        </w:tc>
        <w:tc>
          <w:tcPr>
            <w:tcW w:w="1701" w:type="dxa"/>
          </w:tcPr>
          <w:p>
            <w:pPr>
              <w:pStyle w:val="0"/>
            </w:pPr>
            <w:r>
              <w:rPr>
                <w:sz w:val="20"/>
              </w:rPr>
            </w:r>
          </w:p>
        </w:tc>
        <w:tc>
          <w:tcPr>
            <w:tcW w:w="1701" w:type="dxa"/>
          </w:tcPr>
          <w:p>
            <w:pPr>
              <w:pStyle w:val="0"/>
            </w:pPr>
            <w:r>
              <w:rPr>
                <w:sz w:val="20"/>
              </w:rPr>
            </w:r>
          </w:p>
        </w:tc>
      </w:tr>
      <w:tr>
        <w:tc>
          <w:tcPr>
            <w:tcW w:w="3912" w:type="dxa"/>
          </w:tcPr>
          <w:p>
            <w:pPr>
              <w:pStyle w:val="0"/>
            </w:pPr>
            <w:r>
              <w:rPr>
                <w:sz w:val="20"/>
              </w:rPr>
              <w:t xml:space="preserve">налоговые и неналоговые доходы</w:t>
            </w:r>
          </w:p>
        </w:tc>
        <w:tc>
          <w:tcPr>
            <w:tcW w:w="1701" w:type="dxa"/>
          </w:tcPr>
          <w:p>
            <w:pPr>
              <w:pStyle w:val="0"/>
              <w:jc w:val="center"/>
            </w:pPr>
            <w:r>
              <w:rPr>
                <w:sz w:val="20"/>
              </w:rPr>
              <w:t xml:space="preserve">59607704,8</w:t>
            </w:r>
          </w:p>
        </w:tc>
        <w:tc>
          <w:tcPr>
            <w:tcW w:w="1701" w:type="dxa"/>
          </w:tcPr>
          <w:p>
            <w:pPr>
              <w:pStyle w:val="0"/>
              <w:jc w:val="center"/>
            </w:pPr>
            <w:r>
              <w:rPr>
                <w:sz w:val="20"/>
              </w:rPr>
              <w:t xml:space="preserve">62645075,7</w:t>
            </w:r>
          </w:p>
        </w:tc>
        <w:tc>
          <w:tcPr>
            <w:tcW w:w="1701" w:type="dxa"/>
          </w:tcPr>
          <w:p>
            <w:pPr>
              <w:pStyle w:val="0"/>
              <w:jc w:val="center"/>
            </w:pPr>
            <w:r>
              <w:rPr>
                <w:sz w:val="20"/>
              </w:rPr>
              <w:t xml:space="preserve">65290654,5</w:t>
            </w:r>
          </w:p>
        </w:tc>
      </w:tr>
      <w:tr>
        <w:tc>
          <w:tcPr>
            <w:tcW w:w="3912" w:type="dxa"/>
          </w:tcPr>
          <w:p>
            <w:pPr>
              <w:pStyle w:val="0"/>
            </w:pPr>
            <w:r>
              <w:rPr>
                <w:sz w:val="20"/>
              </w:rPr>
              <w:t xml:space="preserve">безвозмездные поступления</w:t>
            </w:r>
          </w:p>
        </w:tc>
        <w:tc>
          <w:tcPr>
            <w:tcW w:w="1701" w:type="dxa"/>
          </w:tcPr>
          <w:p>
            <w:pPr>
              <w:pStyle w:val="0"/>
              <w:jc w:val="center"/>
            </w:pPr>
            <w:r>
              <w:rPr>
                <w:sz w:val="20"/>
              </w:rPr>
              <w:t xml:space="preserve">20439567,5</w:t>
            </w:r>
          </w:p>
        </w:tc>
        <w:tc>
          <w:tcPr>
            <w:tcW w:w="1701" w:type="dxa"/>
          </w:tcPr>
          <w:p>
            <w:pPr>
              <w:pStyle w:val="0"/>
              <w:jc w:val="center"/>
            </w:pPr>
            <w:r>
              <w:rPr>
                <w:sz w:val="20"/>
              </w:rPr>
              <w:t xml:space="preserve">20100087,2</w:t>
            </w:r>
          </w:p>
        </w:tc>
        <w:tc>
          <w:tcPr>
            <w:tcW w:w="1701" w:type="dxa"/>
          </w:tcPr>
          <w:p>
            <w:pPr>
              <w:pStyle w:val="0"/>
              <w:jc w:val="center"/>
            </w:pPr>
            <w:r>
              <w:rPr>
                <w:sz w:val="20"/>
              </w:rPr>
              <w:t xml:space="preserve">17684721,2</w:t>
            </w:r>
          </w:p>
        </w:tc>
      </w:tr>
      <w:tr>
        <w:tc>
          <w:tcPr>
            <w:tcW w:w="3912" w:type="dxa"/>
          </w:tcPr>
          <w:p>
            <w:pPr>
              <w:pStyle w:val="0"/>
            </w:pPr>
            <w:r>
              <w:rPr>
                <w:sz w:val="20"/>
              </w:rPr>
              <w:t xml:space="preserve">Расходы - всего</w:t>
            </w:r>
          </w:p>
        </w:tc>
        <w:tc>
          <w:tcPr>
            <w:tcW w:w="1701" w:type="dxa"/>
          </w:tcPr>
          <w:p>
            <w:pPr>
              <w:pStyle w:val="0"/>
              <w:jc w:val="center"/>
            </w:pPr>
            <w:r>
              <w:rPr>
                <w:sz w:val="20"/>
              </w:rPr>
              <w:t xml:space="preserve">92725504,8</w:t>
            </w:r>
          </w:p>
        </w:tc>
        <w:tc>
          <w:tcPr>
            <w:tcW w:w="1701" w:type="dxa"/>
          </w:tcPr>
          <w:p>
            <w:pPr>
              <w:pStyle w:val="0"/>
              <w:jc w:val="center"/>
            </w:pPr>
            <w:r>
              <w:rPr>
                <w:sz w:val="20"/>
              </w:rPr>
              <w:t xml:space="preserve">90258670,7</w:t>
            </w:r>
          </w:p>
        </w:tc>
        <w:tc>
          <w:tcPr>
            <w:tcW w:w="1701" w:type="dxa"/>
          </w:tcPr>
          <w:p>
            <w:pPr>
              <w:pStyle w:val="0"/>
              <w:jc w:val="center"/>
            </w:pPr>
            <w:r>
              <w:rPr>
                <w:sz w:val="20"/>
              </w:rPr>
              <w:t xml:space="preserve">88921100,2</w:t>
            </w:r>
          </w:p>
        </w:tc>
      </w:tr>
      <w:tr>
        <w:tc>
          <w:tcPr>
            <w:tcW w:w="3912" w:type="dxa"/>
          </w:tcPr>
          <w:p>
            <w:pPr>
              <w:pStyle w:val="0"/>
            </w:pPr>
            <w:r>
              <w:rPr>
                <w:sz w:val="20"/>
              </w:rPr>
              <w:t xml:space="preserve">в том числе:</w:t>
            </w:r>
          </w:p>
        </w:tc>
        <w:tc>
          <w:tcPr>
            <w:tcW w:w="1701" w:type="dxa"/>
          </w:tcPr>
          <w:p>
            <w:pPr>
              <w:pStyle w:val="0"/>
            </w:pPr>
            <w:r>
              <w:rPr>
                <w:sz w:val="20"/>
              </w:rPr>
            </w:r>
          </w:p>
        </w:tc>
        <w:tc>
          <w:tcPr>
            <w:tcW w:w="1701" w:type="dxa"/>
          </w:tcPr>
          <w:p>
            <w:pPr>
              <w:pStyle w:val="0"/>
            </w:pPr>
            <w:r>
              <w:rPr>
                <w:sz w:val="20"/>
              </w:rPr>
            </w:r>
          </w:p>
        </w:tc>
        <w:tc>
          <w:tcPr>
            <w:tcW w:w="1701" w:type="dxa"/>
          </w:tcPr>
          <w:p>
            <w:pPr>
              <w:pStyle w:val="0"/>
            </w:pPr>
            <w:r>
              <w:rPr>
                <w:sz w:val="20"/>
              </w:rPr>
            </w:r>
          </w:p>
        </w:tc>
      </w:tr>
      <w:tr>
        <w:tc>
          <w:tcPr>
            <w:tcW w:w="3912" w:type="dxa"/>
          </w:tcPr>
          <w:p>
            <w:pPr>
              <w:pStyle w:val="0"/>
            </w:pPr>
            <w:r>
              <w:rPr>
                <w:sz w:val="20"/>
              </w:rPr>
              <w:t xml:space="preserve">Реализация инвестиционных проектов за счет привлечения инфраструктурных бюджетных кредитов из федерального бюджета</w:t>
            </w:r>
          </w:p>
        </w:tc>
        <w:tc>
          <w:tcPr>
            <w:tcW w:w="1701" w:type="dxa"/>
          </w:tcPr>
          <w:p>
            <w:pPr>
              <w:pStyle w:val="0"/>
              <w:jc w:val="center"/>
            </w:pPr>
            <w:r>
              <w:rPr>
                <w:sz w:val="20"/>
              </w:rPr>
              <w:t xml:space="preserve">3297940,0</w:t>
            </w:r>
          </w:p>
        </w:tc>
        <w:tc>
          <w:tcPr>
            <w:tcW w:w="1701" w:type="dxa"/>
          </w:tcPr>
          <w:p>
            <w:pPr>
              <w:pStyle w:val="0"/>
              <w:jc w:val="center"/>
            </w:pPr>
            <w:r>
              <w:rPr>
                <w:sz w:val="20"/>
              </w:rPr>
              <w:t xml:space="preserve">1250403,0</w:t>
            </w:r>
          </w:p>
        </w:tc>
        <w:tc>
          <w:tcPr>
            <w:tcW w:w="1701" w:type="dxa"/>
          </w:tcPr>
          <w:p>
            <w:pPr>
              <w:pStyle w:val="0"/>
              <w:jc w:val="center"/>
            </w:pPr>
            <w:r>
              <w:rPr>
                <w:sz w:val="20"/>
              </w:rPr>
              <w:t xml:space="preserve">585000,0</w:t>
            </w:r>
          </w:p>
        </w:tc>
      </w:tr>
      <w:tr>
        <w:tc>
          <w:tcPr>
            <w:tcW w:w="3912" w:type="dxa"/>
          </w:tcPr>
          <w:p>
            <w:pPr>
              <w:pStyle w:val="0"/>
            </w:pPr>
            <w:r>
              <w:rPr>
                <w:sz w:val="20"/>
              </w:rPr>
              <w:t xml:space="preserve">условно утверждаемые расходы</w:t>
            </w:r>
          </w:p>
        </w:tc>
        <w:tc>
          <w:tcPr>
            <w:tcW w:w="1701" w:type="dxa"/>
          </w:tcPr>
          <w:p>
            <w:pPr>
              <w:pStyle w:val="0"/>
              <w:jc w:val="center"/>
            </w:pPr>
            <w:r>
              <w:rPr>
                <w:sz w:val="20"/>
              </w:rPr>
              <w:t xml:space="preserve">0,0</w:t>
            </w:r>
          </w:p>
        </w:tc>
        <w:tc>
          <w:tcPr>
            <w:tcW w:w="1701" w:type="dxa"/>
          </w:tcPr>
          <w:p>
            <w:pPr>
              <w:pStyle w:val="0"/>
              <w:jc w:val="center"/>
            </w:pPr>
            <w:r>
              <w:rPr>
                <w:sz w:val="20"/>
              </w:rPr>
              <w:t xml:space="preserve">1850000,0</w:t>
            </w:r>
          </w:p>
        </w:tc>
        <w:tc>
          <w:tcPr>
            <w:tcW w:w="1701" w:type="dxa"/>
          </w:tcPr>
          <w:p>
            <w:pPr>
              <w:pStyle w:val="0"/>
              <w:jc w:val="center"/>
            </w:pPr>
            <w:r>
              <w:rPr>
                <w:sz w:val="20"/>
              </w:rPr>
              <w:t xml:space="preserve">3700000,0</w:t>
            </w:r>
          </w:p>
        </w:tc>
      </w:tr>
      <w:tr>
        <w:tc>
          <w:tcPr>
            <w:tcW w:w="3912" w:type="dxa"/>
          </w:tcPr>
          <w:p>
            <w:pPr>
              <w:pStyle w:val="0"/>
            </w:pPr>
            <w:r>
              <w:rPr>
                <w:sz w:val="20"/>
              </w:rPr>
              <w:t xml:space="preserve">Дефицит</w:t>
            </w:r>
          </w:p>
        </w:tc>
        <w:tc>
          <w:tcPr>
            <w:tcW w:w="1701" w:type="dxa"/>
          </w:tcPr>
          <w:p>
            <w:pPr>
              <w:pStyle w:val="0"/>
              <w:jc w:val="center"/>
            </w:pPr>
            <w:r>
              <w:rPr>
                <w:sz w:val="20"/>
              </w:rPr>
              <w:t xml:space="preserve">-12678232,5</w:t>
            </w:r>
          </w:p>
        </w:tc>
        <w:tc>
          <w:tcPr>
            <w:tcW w:w="1701" w:type="dxa"/>
          </w:tcPr>
          <w:p>
            <w:pPr>
              <w:pStyle w:val="0"/>
              <w:jc w:val="center"/>
            </w:pPr>
            <w:r>
              <w:rPr>
                <w:sz w:val="20"/>
              </w:rPr>
              <w:t xml:space="preserve">-7513507,8</w:t>
            </w:r>
          </w:p>
        </w:tc>
        <w:tc>
          <w:tcPr>
            <w:tcW w:w="1701" w:type="dxa"/>
          </w:tcPr>
          <w:p>
            <w:pPr>
              <w:pStyle w:val="0"/>
              <w:jc w:val="center"/>
            </w:pPr>
            <w:r>
              <w:rPr>
                <w:sz w:val="20"/>
              </w:rPr>
              <w:t xml:space="preserve">-5945724,5</w:t>
            </w:r>
          </w:p>
        </w:tc>
      </w:tr>
      <w:tr>
        <w:tc>
          <w:tcPr>
            <w:tcW w:w="3912" w:type="dxa"/>
          </w:tcPr>
          <w:p>
            <w:pPr>
              <w:pStyle w:val="0"/>
            </w:pPr>
            <w:r>
              <w:rPr>
                <w:sz w:val="20"/>
              </w:rPr>
              <w:t xml:space="preserve">уровень дефицита к налоговым и неналоговым доходам и без инфраструктурных бюджетных кредитов из федерального бюджета, %</w:t>
            </w:r>
          </w:p>
        </w:tc>
        <w:tc>
          <w:tcPr>
            <w:tcW w:w="1701" w:type="dxa"/>
          </w:tcPr>
          <w:p>
            <w:pPr>
              <w:pStyle w:val="0"/>
              <w:jc w:val="center"/>
            </w:pPr>
            <w:r>
              <w:rPr>
                <w:sz w:val="20"/>
              </w:rPr>
              <w:t xml:space="preserve">15,7</w:t>
            </w:r>
          </w:p>
        </w:tc>
        <w:tc>
          <w:tcPr>
            <w:tcW w:w="1701" w:type="dxa"/>
          </w:tcPr>
          <w:p>
            <w:pPr>
              <w:pStyle w:val="0"/>
              <w:jc w:val="center"/>
            </w:pPr>
            <w:r>
              <w:rPr>
                <w:sz w:val="20"/>
              </w:rPr>
              <w:t xml:space="preserve">10,0</w:t>
            </w:r>
          </w:p>
        </w:tc>
        <w:tc>
          <w:tcPr>
            <w:tcW w:w="1701" w:type="dxa"/>
          </w:tcPr>
          <w:p>
            <w:pPr>
              <w:pStyle w:val="0"/>
              <w:jc w:val="center"/>
            </w:pPr>
            <w:r>
              <w:rPr>
                <w:sz w:val="20"/>
              </w:rPr>
              <w:t xml:space="preserve">8,2</w:t>
            </w:r>
          </w:p>
        </w:tc>
      </w:tr>
      <w:tr>
        <w:tc>
          <w:tcPr>
            <w:tcW w:w="3912" w:type="dxa"/>
          </w:tcPr>
          <w:p>
            <w:pPr>
              <w:pStyle w:val="0"/>
            </w:pPr>
            <w:r>
              <w:rPr>
                <w:sz w:val="20"/>
              </w:rPr>
              <w:t xml:space="preserve">Справочно: уровень дефицита к доходам областного бюджета без учета безвозмездных поступлений по Соглашению с Минфином России, утвержденному </w:t>
            </w:r>
            <w:hyperlink w:history="0" r:id="rId80"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05.10.2020 N 66-ОЗ, %</w:t>
            </w:r>
          </w:p>
        </w:tc>
        <w:tc>
          <w:tcPr>
            <w:tcW w:w="1701" w:type="dxa"/>
          </w:tcPr>
          <w:p>
            <w:pPr>
              <w:pStyle w:val="0"/>
              <w:jc w:val="center"/>
            </w:pPr>
            <w:r>
              <w:rPr>
                <w:sz w:val="20"/>
              </w:rPr>
              <w:t xml:space="preserve">10,0</w:t>
            </w:r>
          </w:p>
        </w:tc>
        <w:tc>
          <w:tcPr>
            <w:tcW w:w="1701" w:type="dxa"/>
          </w:tcPr>
          <w:p>
            <w:pPr>
              <w:pStyle w:val="0"/>
              <w:jc w:val="center"/>
            </w:pPr>
            <w:r>
              <w:rPr>
                <w:sz w:val="20"/>
              </w:rPr>
              <w:t xml:space="preserve">10,0</w:t>
            </w:r>
          </w:p>
        </w:tc>
        <w:tc>
          <w:tcPr>
            <w:tcW w:w="1701" w:type="dxa"/>
          </w:tcPr>
          <w:p>
            <w:pPr>
              <w:pStyle w:val="0"/>
              <w:jc w:val="center"/>
            </w:pPr>
            <w:r>
              <w:rPr>
                <w:sz w:val="20"/>
              </w:rPr>
              <w:t xml:space="preserve">10,0</w:t>
            </w:r>
          </w:p>
        </w:tc>
      </w:tr>
      <w:tr>
        <w:tc>
          <w:tcPr>
            <w:tcW w:w="3912" w:type="dxa"/>
          </w:tcPr>
          <w:p>
            <w:pPr>
              <w:pStyle w:val="0"/>
            </w:pPr>
            <w:r>
              <w:rPr>
                <w:sz w:val="20"/>
              </w:rPr>
            </w:r>
          </w:p>
        </w:tc>
        <w:tc>
          <w:tcPr>
            <w:tcW w:w="1701" w:type="dxa"/>
          </w:tcPr>
          <w:p>
            <w:pPr>
              <w:pStyle w:val="0"/>
              <w:jc w:val="center"/>
            </w:pPr>
            <w:r>
              <w:rPr>
                <w:sz w:val="20"/>
              </w:rPr>
              <w:t xml:space="preserve">на 01.01.2023</w:t>
            </w:r>
          </w:p>
        </w:tc>
        <w:tc>
          <w:tcPr>
            <w:tcW w:w="1701" w:type="dxa"/>
          </w:tcPr>
          <w:p>
            <w:pPr>
              <w:pStyle w:val="0"/>
              <w:jc w:val="center"/>
            </w:pPr>
            <w:r>
              <w:rPr>
                <w:sz w:val="20"/>
              </w:rPr>
              <w:t xml:space="preserve">на 01.01.2024</w:t>
            </w:r>
          </w:p>
        </w:tc>
        <w:tc>
          <w:tcPr>
            <w:tcW w:w="1701" w:type="dxa"/>
          </w:tcPr>
          <w:p>
            <w:pPr>
              <w:pStyle w:val="0"/>
              <w:jc w:val="center"/>
            </w:pPr>
            <w:r>
              <w:rPr>
                <w:sz w:val="20"/>
              </w:rPr>
              <w:t xml:space="preserve">на 01.01.2025</w:t>
            </w:r>
          </w:p>
        </w:tc>
      </w:tr>
      <w:tr>
        <w:tc>
          <w:tcPr>
            <w:tcW w:w="3912" w:type="dxa"/>
          </w:tcPr>
          <w:p>
            <w:pPr>
              <w:pStyle w:val="0"/>
            </w:pPr>
            <w:r>
              <w:rPr>
                <w:sz w:val="20"/>
              </w:rPr>
              <w:t xml:space="preserve">Верхний предел государственного внутреннего долга области по Соглашениям с Минфином России, утвержденным </w:t>
            </w:r>
            <w:hyperlink w:history="0" r:id="rId81"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05.10.2020 N 66-ОЗ, % от доходов без учета безвозмездных поступлений (превышение возможно по основаниям, установленным бюджетным законодательством)</w:t>
            </w:r>
          </w:p>
        </w:tc>
        <w:tc>
          <w:tcPr>
            <w:tcW w:w="1701" w:type="dxa"/>
          </w:tcPr>
          <w:p>
            <w:pPr>
              <w:pStyle w:val="0"/>
              <w:jc w:val="center"/>
            </w:pPr>
            <w:r>
              <w:rPr>
                <w:sz w:val="20"/>
              </w:rPr>
              <w:t xml:space="preserve">14</w:t>
            </w:r>
          </w:p>
        </w:tc>
        <w:tc>
          <w:tcPr>
            <w:tcW w:w="1701" w:type="dxa"/>
          </w:tcPr>
          <w:p>
            <w:pPr>
              <w:pStyle w:val="0"/>
              <w:jc w:val="center"/>
            </w:pPr>
            <w:r>
              <w:rPr>
                <w:sz w:val="20"/>
              </w:rPr>
              <w:t xml:space="preserve">14</w:t>
            </w:r>
          </w:p>
        </w:tc>
        <w:tc>
          <w:tcPr>
            <w:tcW w:w="1701" w:type="dxa"/>
          </w:tcPr>
          <w:p>
            <w:pPr>
              <w:pStyle w:val="0"/>
              <w:jc w:val="center"/>
            </w:pPr>
            <w:r>
              <w:rPr>
                <w:sz w:val="20"/>
              </w:rPr>
              <w:t xml:space="preserve">14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6</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957" w:name="P957"/>
    <w:bookmarkEnd w:id="957"/>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 И ВНОВЬ</w:t>
      </w:r>
    </w:p>
    <w:p>
      <w:pPr>
        <w:pStyle w:val="2"/>
        <w:jc w:val="center"/>
      </w:pPr>
      <w:r>
        <w:rPr>
          <w:sz w:val="20"/>
        </w:rPr>
        <w:t xml:space="preserve">ПРИНИМАЕМЫХ ОБЯЗАТЕЛЬСТВ ВЛАДИМИРСКОЙ ОБЛАСТИ НА 2023 ГОД</w:t>
      </w:r>
    </w:p>
    <w:p>
      <w:pPr>
        <w:pStyle w:val="2"/>
        <w:jc w:val="center"/>
      </w:pPr>
      <w:r>
        <w:rPr>
          <w:sz w:val="20"/>
        </w:rPr>
        <w:t xml:space="preserve">И НА ПЛАНОВЫЙ ПЕРИОД 2024 И 2025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3628"/>
        <w:gridCol w:w="1587"/>
        <w:gridCol w:w="1587"/>
        <w:gridCol w:w="1587"/>
      </w:tblGrid>
      <w:tr>
        <w:tc>
          <w:tcPr>
            <w:tcW w:w="680" w:type="dxa"/>
            <w:vMerge w:val="restart"/>
          </w:tcPr>
          <w:p>
            <w:pPr>
              <w:pStyle w:val="0"/>
              <w:jc w:val="center"/>
            </w:pPr>
            <w:r>
              <w:rPr>
                <w:sz w:val="20"/>
              </w:rPr>
              <w:t xml:space="preserve">N п/п</w:t>
            </w:r>
          </w:p>
        </w:tc>
        <w:tc>
          <w:tcPr>
            <w:tcW w:w="3628" w:type="dxa"/>
            <w:vMerge w:val="restart"/>
          </w:tcPr>
          <w:p>
            <w:pPr>
              <w:pStyle w:val="0"/>
              <w:jc w:val="center"/>
            </w:pPr>
            <w:r>
              <w:rPr>
                <w:sz w:val="20"/>
              </w:rPr>
              <w:t xml:space="preserve">Направление расходов</w:t>
            </w:r>
          </w:p>
        </w:tc>
        <w:tc>
          <w:tcPr>
            <w:gridSpan w:val="3"/>
            <w:tcW w:w="4761" w:type="dxa"/>
          </w:tcPr>
          <w:p>
            <w:pPr>
              <w:pStyle w:val="0"/>
              <w:jc w:val="center"/>
            </w:pPr>
            <w:r>
              <w:rPr>
                <w:sz w:val="20"/>
              </w:rPr>
              <w:t xml:space="preserve">Предельные объемы в тыс. рублей</w:t>
            </w:r>
          </w:p>
        </w:tc>
      </w:tr>
      <w:tr>
        <w:tc>
          <w:tcPr>
            <w:vMerge w:val="continue"/>
          </w:tcPr>
          <w:p/>
        </w:tc>
        <w:tc>
          <w:tcPr>
            <w:vMerge w:val="continue"/>
          </w:tcPr>
          <w:p/>
        </w:tc>
        <w:tc>
          <w:tcPr>
            <w:tcW w:w="1587" w:type="dxa"/>
          </w:tcPr>
          <w:p>
            <w:pPr>
              <w:pStyle w:val="0"/>
              <w:jc w:val="center"/>
            </w:pPr>
            <w:r>
              <w:rPr>
                <w:sz w:val="20"/>
              </w:rPr>
              <w:t xml:space="preserve">2023 год</w:t>
            </w:r>
          </w:p>
        </w:tc>
        <w:tc>
          <w:tcPr>
            <w:tcW w:w="1587" w:type="dxa"/>
          </w:tcPr>
          <w:p>
            <w:pPr>
              <w:pStyle w:val="0"/>
              <w:jc w:val="center"/>
            </w:pPr>
            <w:r>
              <w:rPr>
                <w:sz w:val="20"/>
              </w:rPr>
              <w:t xml:space="preserve">2024 год</w:t>
            </w:r>
          </w:p>
        </w:tc>
        <w:tc>
          <w:tcPr>
            <w:tcW w:w="1587" w:type="dxa"/>
          </w:tcPr>
          <w:p>
            <w:pPr>
              <w:pStyle w:val="0"/>
              <w:jc w:val="center"/>
            </w:pPr>
            <w:r>
              <w:rPr>
                <w:sz w:val="20"/>
              </w:rPr>
              <w:t xml:space="preserve">2025 год</w:t>
            </w:r>
          </w:p>
        </w:tc>
      </w:tr>
      <w:tr>
        <w:tc>
          <w:tcPr>
            <w:tcW w:w="680" w:type="dxa"/>
          </w:tcPr>
          <w:p>
            <w:pPr>
              <w:pStyle w:val="0"/>
              <w:jc w:val="center"/>
            </w:pPr>
            <w:r>
              <w:rPr>
                <w:sz w:val="20"/>
              </w:rPr>
              <w:t xml:space="preserve">1.</w:t>
            </w:r>
          </w:p>
        </w:tc>
        <w:tc>
          <w:tcPr>
            <w:tcW w:w="3628" w:type="dxa"/>
          </w:tcPr>
          <w:p>
            <w:pPr>
              <w:pStyle w:val="0"/>
            </w:pPr>
            <w:r>
              <w:rPr>
                <w:sz w:val="20"/>
              </w:rPr>
              <w:t xml:space="preserve">Реестр действующих обязательств</w:t>
            </w:r>
          </w:p>
        </w:tc>
        <w:tc>
          <w:tcPr>
            <w:tcW w:w="1587" w:type="dxa"/>
          </w:tcPr>
          <w:p>
            <w:pPr>
              <w:pStyle w:val="0"/>
              <w:jc w:val="center"/>
            </w:pPr>
            <w:r>
              <w:rPr>
                <w:sz w:val="20"/>
              </w:rPr>
              <w:t xml:space="preserve">85209965,1</w:t>
            </w:r>
          </w:p>
        </w:tc>
        <w:tc>
          <w:tcPr>
            <w:tcW w:w="1587" w:type="dxa"/>
          </w:tcPr>
          <w:p>
            <w:pPr>
              <w:pStyle w:val="0"/>
              <w:jc w:val="center"/>
            </w:pPr>
            <w:r>
              <w:rPr>
                <w:sz w:val="20"/>
              </w:rPr>
              <w:t xml:space="preserve">79165385,1</w:t>
            </w:r>
          </w:p>
        </w:tc>
        <w:tc>
          <w:tcPr>
            <w:tcW w:w="1587" w:type="dxa"/>
          </w:tcPr>
          <w:p>
            <w:pPr>
              <w:pStyle w:val="0"/>
              <w:jc w:val="center"/>
            </w:pPr>
            <w:r>
              <w:rPr>
                <w:sz w:val="20"/>
              </w:rPr>
              <w:t xml:space="preserve">77292632,7</w:t>
            </w:r>
          </w:p>
        </w:tc>
      </w:tr>
      <w:tr>
        <w:tc>
          <w:tcPr>
            <w:tcW w:w="680" w:type="dxa"/>
          </w:tcPr>
          <w:p>
            <w:pPr>
              <w:pStyle w:val="0"/>
            </w:pPr>
            <w:r>
              <w:rPr>
                <w:sz w:val="20"/>
              </w:rPr>
            </w:r>
          </w:p>
        </w:tc>
        <w:tc>
          <w:tcPr>
            <w:tcW w:w="3628" w:type="dxa"/>
          </w:tcPr>
          <w:p>
            <w:pPr>
              <w:pStyle w:val="0"/>
            </w:pPr>
            <w:r>
              <w:rPr>
                <w:sz w:val="20"/>
              </w:rPr>
              <w:t xml:space="preserve">в том числе по главным распорядителям средств областного бюджета:</w:t>
            </w:r>
          </w:p>
        </w:tc>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r>
      <w:tr>
        <w:tc>
          <w:tcPr>
            <w:tcW w:w="680" w:type="dxa"/>
          </w:tcPr>
          <w:p>
            <w:pPr>
              <w:pStyle w:val="0"/>
            </w:pPr>
            <w:r>
              <w:rPr>
                <w:sz w:val="20"/>
              </w:rPr>
            </w:r>
          </w:p>
        </w:tc>
        <w:tc>
          <w:tcPr>
            <w:tcW w:w="3628" w:type="dxa"/>
          </w:tcPr>
          <w:p>
            <w:pPr>
              <w:pStyle w:val="0"/>
            </w:pPr>
            <w:r>
              <w:rPr>
                <w:sz w:val="20"/>
              </w:rPr>
              <w:t xml:space="preserve">Законодательное Собрание Владимирской области</w:t>
            </w:r>
          </w:p>
        </w:tc>
        <w:tc>
          <w:tcPr>
            <w:tcW w:w="1587" w:type="dxa"/>
          </w:tcPr>
          <w:p>
            <w:pPr>
              <w:pStyle w:val="0"/>
              <w:jc w:val="center"/>
            </w:pPr>
            <w:r>
              <w:rPr>
                <w:sz w:val="20"/>
              </w:rPr>
              <w:t xml:space="preserve">139545,3</w:t>
            </w:r>
          </w:p>
        </w:tc>
        <w:tc>
          <w:tcPr>
            <w:tcW w:w="1587" w:type="dxa"/>
          </w:tcPr>
          <w:p>
            <w:pPr>
              <w:pStyle w:val="0"/>
              <w:jc w:val="center"/>
            </w:pPr>
            <w:r>
              <w:rPr>
                <w:sz w:val="20"/>
              </w:rPr>
              <w:t xml:space="preserve">139545,3</w:t>
            </w:r>
          </w:p>
        </w:tc>
        <w:tc>
          <w:tcPr>
            <w:tcW w:w="1587" w:type="dxa"/>
          </w:tcPr>
          <w:p>
            <w:pPr>
              <w:pStyle w:val="0"/>
              <w:jc w:val="center"/>
            </w:pPr>
            <w:r>
              <w:rPr>
                <w:sz w:val="20"/>
              </w:rPr>
              <w:t xml:space="preserve">139545,3</w:t>
            </w:r>
          </w:p>
        </w:tc>
      </w:tr>
      <w:tr>
        <w:tc>
          <w:tcPr>
            <w:tcW w:w="680" w:type="dxa"/>
          </w:tcPr>
          <w:p>
            <w:pPr>
              <w:pStyle w:val="0"/>
            </w:pPr>
            <w:r>
              <w:rPr>
                <w:sz w:val="20"/>
              </w:rPr>
            </w:r>
          </w:p>
        </w:tc>
        <w:tc>
          <w:tcPr>
            <w:tcW w:w="3628" w:type="dxa"/>
          </w:tcPr>
          <w:p>
            <w:pPr>
              <w:pStyle w:val="0"/>
            </w:pPr>
            <w:r>
              <w:rPr>
                <w:sz w:val="20"/>
              </w:rPr>
              <w:t xml:space="preserve">Администрация Владимирской области</w:t>
            </w:r>
          </w:p>
        </w:tc>
        <w:tc>
          <w:tcPr>
            <w:tcW w:w="1587" w:type="dxa"/>
          </w:tcPr>
          <w:p>
            <w:pPr>
              <w:pStyle w:val="0"/>
              <w:jc w:val="center"/>
            </w:pPr>
            <w:r>
              <w:rPr>
                <w:sz w:val="20"/>
              </w:rPr>
              <w:t xml:space="preserve">650879,2</w:t>
            </w:r>
          </w:p>
        </w:tc>
        <w:tc>
          <w:tcPr>
            <w:tcW w:w="1587" w:type="dxa"/>
          </w:tcPr>
          <w:p>
            <w:pPr>
              <w:pStyle w:val="0"/>
              <w:jc w:val="center"/>
            </w:pPr>
            <w:r>
              <w:rPr>
                <w:sz w:val="20"/>
              </w:rPr>
              <w:t xml:space="preserve">547991,4</w:t>
            </w:r>
          </w:p>
        </w:tc>
        <w:tc>
          <w:tcPr>
            <w:tcW w:w="1587" w:type="dxa"/>
          </w:tcPr>
          <w:p>
            <w:pPr>
              <w:pStyle w:val="0"/>
              <w:jc w:val="center"/>
            </w:pPr>
            <w:r>
              <w:rPr>
                <w:sz w:val="20"/>
              </w:rPr>
              <w:t xml:space="preserve">547991,4</w:t>
            </w:r>
          </w:p>
        </w:tc>
      </w:tr>
      <w:tr>
        <w:tc>
          <w:tcPr>
            <w:tcW w:w="680" w:type="dxa"/>
          </w:tcPr>
          <w:p>
            <w:pPr>
              <w:pStyle w:val="0"/>
            </w:pPr>
            <w:r>
              <w:rPr>
                <w:sz w:val="20"/>
              </w:rPr>
            </w:r>
          </w:p>
        </w:tc>
        <w:tc>
          <w:tcPr>
            <w:tcW w:w="3628" w:type="dxa"/>
          </w:tcPr>
          <w:p>
            <w:pPr>
              <w:pStyle w:val="0"/>
            </w:pPr>
            <w:r>
              <w:rPr>
                <w:sz w:val="20"/>
              </w:rPr>
              <w:t xml:space="preserve">Департамент региональной политики Владимирской области</w:t>
            </w:r>
          </w:p>
        </w:tc>
        <w:tc>
          <w:tcPr>
            <w:tcW w:w="1587" w:type="dxa"/>
          </w:tcPr>
          <w:p>
            <w:pPr>
              <w:pStyle w:val="0"/>
              <w:jc w:val="center"/>
            </w:pPr>
            <w:r>
              <w:rPr>
                <w:sz w:val="20"/>
              </w:rPr>
              <w:t xml:space="preserve">123345,9</w:t>
            </w:r>
          </w:p>
        </w:tc>
        <w:tc>
          <w:tcPr>
            <w:tcW w:w="1587" w:type="dxa"/>
          </w:tcPr>
          <w:p>
            <w:pPr>
              <w:pStyle w:val="0"/>
              <w:jc w:val="center"/>
            </w:pPr>
            <w:r>
              <w:rPr>
                <w:sz w:val="20"/>
              </w:rPr>
              <w:t xml:space="preserve">123312,9</w:t>
            </w:r>
          </w:p>
        </w:tc>
        <w:tc>
          <w:tcPr>
            <w:tcW w:w="1587" w:type="dxa"/>
          </w:tcPr>
          <w:p>
            <w:pPr>
              <w:pStyle w:val="0"/>
              <w:jc w:val="center"/>
            </w:pPr>
            <w:r>
              <w:rPr>
                <w:sz w:val="20"/>
              </w:rPr>
              <w:t xml:space="preserve">123312,9</w:t>
            </w:r>
          </w:p>
        </w:tc>
      </w:tr>
      <w:tr>
        <w:tc>
          <w:tcPr>
            <w:tcW w:w="680" w:type="dxa"/>
          </w:tcPr>
          <w:p>
            <w:pPr>
              <w:pStyle w:val="0"/>
            </w:pPr>
            <w:r>
              <w:rPr>
                <w:sz w:val="20"/>
              </w:rPr>
            </w:r>
          </w:p>
        </w:tc>
        <w:tc>
          <w:tcPr>
            <w:tcW w:w="3628" w:type="dxa"/>
          </w:tcPr>
          <w:p>
            <w:pPr>
              <w:pStyle w:val="0"/>
            </w:pPr>
            <w:r>
              <w:rPr>
                <w:sz w:val="20"/>
              </w:rPr>
              <w:t xml:space="preserve">Счетная палата Владимирской области</w:t>
            </w:r>
          </w:p>
        </w:tc>
        <w:tc>
          <w:tcPr>
            <w:tcW w:w="1587" w:type="dxa"/>
          </w:tcPr>
          <w:p>
            <w:pPr>
              <w:pStyle w:val="0"/>
              <w:jc w:val="center"/>
            </w:pPr>
            <w:r>
              <w:rPr>
                <w:sz w:val="20"/>
              </w:rPr>
              <w:t xml:space="preserve">57716,5</w:t>
            </w:r>
          </w:p>
        </w:tc>
        <w:tc>
          <w:tcPr>
            <w:tcW w:w="1587" w:type="dxa"/>
          </w:tcPr>
          <w:p>
            <w:pPr>
              <w:pStyle w:val="0"/>
              <w:jc w:val="center"/>
            </w:pPr>
            <w:r>
              <w:rPr>
                <w:sz w:val="20"/>
              </w:rPr>
              <w:t xml:space="preserve">57716,5</w:t>
            </w:r>
          </w:p>
        </w:tc>
        <w:tc>
          <w:tcPr>
            <w:tcW w:w="1587" w:type="dxa"/>
          </w:tcPr>
          <w:p>
            <w:pPr>
              <w:pStyle w:val="0"/>
              <w:jc w:val="center"/>
            </w:pPr>
            <w:r>
              <w:rPr>
                <w:sz w:val="20"/>
              </w:rPr>
              <w:t xml:space="preserve">57716,5</w:t>
            </w:r>
          </w:p>
        </w:tc>
      </w:tr>
      <w:tr>
        <w:tc>
          <w:tcPr>
            <w:tcW w:w="680" w:type="dxa"/>
          </w:tcPr>
          <w:p>
            <w:pPr>
              <w:pStyle w:val="0"/>
            </w:pPr>
            <w:r>
              <w:rPr>
                <w:sz w:val="20"/>
              </w:rPr>
            </w:r>
          </w:p>
        </w:tc>
        <w:tc>
          <w:tcPr>
            <w:tcW w:w="3628" w:type="dxa"/>
          </w:tcPr>
          <w:p>
            <w:pPr>
              <w:pStyle w:val="0"/>
            </w:pPr>
            <w:r>
              <w:rPr>
                <w:sz w:val="20"/>
              </w:rPr>
              <w:t xml:space="preserve">Избирательная комиссия Владимирской области</w:t>
            </w:r>
          </w:p>
        </w:tc>
        <w:tc>
          <w:tcPr>
            <w:tcW w:w="1587" w:type="dxa"/>
          </w:tcPr>
          <w:p>
            <w:pPr>
              <w:pStyle w:val="0"/>
              <w:jc w:val="center"/>
            </w:pPr>
            <w:r>
              <w:rPr>
                <w:sz w:val="20"/>
              </w:rPr>
              <w:t xml:space="preserve">233140,5</w:t>
            </w:r>
          </w:p>
        </w:tc>
        <w:tc>
          <w:tcPr>
            <w:tcW w:w="1587" w:type="dxa"/>
          </w:tcPr>
          <w:p>
            <w:pPr>
              <w:pStyle w:val="0"/>
              <w:jc w:val="center"/>
            </w:pPr>
            <w:r>
              <w:rPr>
                <w:sz w:val="20"/>
              </w:rPr>
              <w:t xml:space="preserve">65892,2</w:t>
            </w:r>
          </w:p>
        </w:tc>
        <w:tc>
          <w:tcPr>
            <w:tcW w:w="1587" w:type="dxa"/>
          </w:tcPr>
          <w:p>
            <w:pPr>
              <w:pStyle w:val="0"/>
              <w:jc w:val="center"/>
            </w:pPr>
            <w:r>
              <w:rPr>
                <w:sz w:val="20"/>
              </w:rPr>
              <w:t xml:space="preserve">65892,2</w:t>
            </w:r>
          </w:p>
        </w:tc>
      </w:tr>
      <w:tr>
        <w:tc>
          <w:tcPr>
            <w:tcW w:w="680" w:type="dxa"/>
          </w:tcPr>
          <w:p>
            <w:pPr>
              <w:pStyle w:val="0"/>
            </w:pPr>
            <w:r>
              <w:rPr>
                <w:sz w:val="20"/>
              </w:rPr>
            </w:r>
          </w:p>
        </w:tc>
        <w:tc>
          <w:tcPr>
            <w:tcW w:w="3628" w:type="dxa"/>
          </w:tcPr>
          <w:p>
            <w:pPr>
              <w:pStyle w:val="0"/>
            </w:pPr>
            <w:r>
              <w:rPr>
                <w:sz w:val="20"/>
              </w:rPr>
              <w:t xml:space="preserve">Департамент регионального развития Владимирской области</w:t>
            </w:r>
          </w:p>
        </w:tc>
        <w:tc>
          <w:tcPr>
            <w:tcW w:w="1587" w:type="dxa"/>
          </w:tcPr>
          <w:p>
            <w:pPr>
              <w:pStyle w:val="0"/>
              <w:jc w:val="center"/>
            </w:pPr>
            <w:r>
              <w:rPr>
                <w:sz w:val="20"/>
              </w:rPr>
              <w:t xml:space="preserve">236279,4</w:t>
            </w:r>
          </w:p>
        </w:tc>
        <w:tc>
          <w:tcPr>
            <w:tcW w:w="1587" w:type="dxa"/>
          </w:tcPr>
          <w:p>
            <w:pPr>
              <w:pStyle w:val="0"/>
              <w:jc w:val="center"/>
            </w:pPr>
            <w:r>
              <w:rPr>
                <w:sz w:val="20"/>
              </w:rPr>
              <w:t xml:space="preserve">236279,4</w:t>
            </w:r>
          </w:p>
        </w:tc>
        <w:tc>
          <w:tcPr>
            <w:tcW w:w="1587" w:type="dxa"/>
          </w:tcPr>
          <w:p>
            <w:pPr>
              <w:pStyle w:val="0"/>
              <w:jc w:val="center"/>
            </w:pPr>
            <w:r>
              <w:rPr>
                <w:sz w:val="20"/>
              </w:rPr>
              <w:t xml:space="preserve">236279,4</w:t>
            </w:r>
          </w:p>
        </w:tc>
      </w:tr>
      <w:tr>
        <w:tc>
          <w:tcPr>
            <w:tcW w:w="680" w:type="dxa"/>
          </w:tcPr>
          <w:p>
            <w:pPr>
              <w:pStyle w:val="0"/>
            </w:pPr>
            <w:r>
              <w:rPr>
                <w:sz w:val="20"/>
              </w:rPr>
            </w:r>
          </w:p>
        </w:tc>
        <w:tc>
          <w:tcPr>
            <w:tcW w:w="3628" w:type="dxa"/>
          </w:tcPr>
          <w:p>
            <w:pPr>
              <w:pStyle w:val="0"/>
            </w:pPr>
            <w:r>
              <w:rPr>
                <w:sz w:val="20"/>
              </w:rPr>
              <w:t xml:space="preserve">Департамент транспорта и дорожного хозяйства Владимирской области</w:t>
            </w:r>
          </w:p>
        </w:tc>
        <w:tc>
          <w:tcPr>
            <w:tcW w:w="1587" w:type="dxa"/>
          </w:tcPr>
          <w:p>
            <w:pPr>
              <w:pStyle w:val="0"/>
              <w:jc w:val="center"/>
            </w:pPr>
            <w:r>
              <w:rPr>
                <w:sz w:val="20"/>
              </w:rPr>
              <w:t xml:space="preserve">9183644,9</w:t>
            </w:r>
          </w:p>
        </w:tc>
        <w:tc>
          <w:tcPr>
            <w:tcW w:w="1587" w:type="dxa"/>
          </w:tcPr>
          <w:p>
            <w:pPr>
              <w:pStyle w:val="0"/>
              <w:jc w:val="center"/>
            </w:pPr>
            <w:r>
              <w:rPr>
                <w:sz w:val="20"/>
              </w:rPr>
              <w:t xml:space="preserve">9162684,7</w:t>
            </w:r>
          </w:p>
        </w:tc>
        <w:tc>
          <w:tcPr>
            <w:tcW w:w="1587" w:type="dxa"/>
          </w:tcPr>
          <w:p>
            <w:pPr>
              <w:pStyle w:val="0"/>
              <w:jc w:val="center"/>
            </w:pPr>
            <w:r>
              <w:rPr>
                <w:sz w:val="20"/>
              </w:rPr>
              <w:t xml:space="preserve">8681476,1</w:t>
            </w:r>
          </w:p>
        </w:tc>
      </w:tr>
      <w:tr>
        <w:tc>
          <w:tcPr>
            <w:tcW w:w="680" w:type="dxa"/>
          </w:tcPr>
          <w:p>
            <w:pPr>
              <w:pStyle w:val="0"/>
            </w:pPr>
            <w:r>
              <w:rPr>
                <w:sz w:val="20"/>
              </w:rPr>
            </w:r>
          </w:p>
        </w:tc>
        <w:tc>
          <w:tcPr>
            <w:tcW w:w="3628" w:type="dxa"/>
          </w:tcPr>
          <w:p>
            <w:pPr>
              <w:pStyle w:val="0"/>
            </w:pPr>
            <w:r>
              <w:rPr>
                <w:sz w:val="20"/>
              </w:rPr>
              <w:t xml:space="preserve">Департамент юстиции Владимирской области</w:t>
            </w:r>
          </w:p>
        </w:tc>
        <w:tc>
          <w:tcPr>
            <w:tcW w:w="1587" w:type="dxa"/>
          </w:tcPr>
          <w:p>
            <w:pPr>
              <w:pStyle w:val="0"/>
              <w:jc w:val="center"/>
            </w:pPr>
            <w:r>
              <w:rPr>
                <w:sz w:val="20"/>
              </w:rPr>
              <w:t xml:space="preserve">360945,3</w:t>
            </w:r>
          </w:p>
        </w:tc>
        <w:tc>
          <w:tcPr>
            <w:tcW w:w="1587" w:type="dxa"/>
          </w:tcPr>
          <w:p>
            <w:pPr>
              <w:pStyle w:val="0"/>
              <w:jc w:val="center"/>
            </w:pPr>
            <w:r>
              <w:rPr>
                <w:sz w:val="20"/>
              </w:rPr>
              <w:t xml:space="preserve">363404,5</w:t>
            </w:r>
          </w:p>
        </w:tc>
        <w:tc>
          <w:tcPr>
            <w:tcW w:w="1587" w:type="dxa"/>
          </w:tcPr>
          <w:p>
            <w:pPr>
              <w:pStyle w:val="0"/>
              <w:jc w:val="center"/>
            </w:pPr>
            <w:r>
              <w:rPr>
                <w:sz w:val="20"/>
              </w:rPr>
              <w:t xml:space="preserve">353736,5</w:t>
            </w:r>
          </w:p>
        </w:tc>
      </w:tr>
      <w:tr>
        <w:tc>
          <w:tcPr>
            <w:tcW w:w="680" w:type="dxa"/>
          </w:tcPr>
          <w:p>
            <w:pPr>
              <w:pStyle w:val="0"/>
            </w:pPr>
            <w:r>
              <w:rPr>
                <w:sz w:val="20"/>
              </w:rPr>
            </w:r>
          </w:p>
        </w:tc>
        <w:tc>
          <w:tcPr>
            <w:tcW w:w="3628" w:type="dxa"/>
          </w:tcPr>
          <w:p>
            <w:pPr>
              <w:pStyle w:val="0"/>
            </w:pPr>
            <w:r>
              <w:rPr>
                <w:sz w:val="20"/>
              </w:rPr>
              <w:t xml:space="preserve">Инспекция государственного строительного надзора Владимирской области</w:t>
            </w:r>
          </w:p>
        </w:tc>
        <w:tc>
          <w:tcPr>
            <w:tcW w:w="1587" w:type="dxa"/>
          </w:tcPr>
          <w:p>
            <w:pPr>
              <w:pStyle w:val="0"/>
              <w:jc w:val="center"/>
            </w:pPr>
            <w:r>
              <w:rPr>
                <w:sz w:val="20"/>
              </w:rPr>
              <w:t xml:space="preserve">22540,2</w:t>
            </w:r>
          </w:p>
        </w:tc>
        <w:tc>
          <w:tcPr>
            <w:tcW w:w="1587" w:type="dxa"/>
          </w:tcPr>
          <w:p>
            <w:pPr>
              <w:pStyle w:val="0"/>
              <w:jc w:val="center"/>
            </w:pPr>
            <w:r>
              <w:rPr>
                <w:sz w:val="20"/>
              </w:rPr>
              <w:t xml:space="preserve">22540,2</w:t>
            </w:r>
          </w:p>
        </w:tc>
        <w:tc>
          <w:tcPr>
            <w:tcW w:w="1587" w:type="dxa"/>
          </w:tcPr>
          <w:p>
            <w:pPr>
              <w:pStyle w:val="0"/>
              <w:jc w:val="center"/>
            </w:pPr>
            <w:r>
              <w:rPr>
                <w:sz w:val="20"/>
              </w:rPr>
              <w:t xml:space="preserve">22540,2</w:t>
            </w:r>
          </w:p>
        </w:tc>
      </w:tr>
      <w:tr>
        <w:tc>
          <w:tcPr>
            <w:tcW w:w="680" w:type="dxa"/>
          </w:tcPr>
          <w:p>
            <w:pPr>
              <w:pStyle w:val="0"/>
            </w:pPr>
            <w:r>
              <w:rPr>
                <w:sz w:val="20"/>
              </w:rPr>
            </w:r>
          </w:p>
        </w:tc>
        <w:tc>
          <w:tcPr>
            <w:tcW w:w="3628" w:type="dxa"/>
          </w:tcPr>
          <w:p>
            <w:pPr>
              <w:pStyle w:val="0"/>
            </w:pPr>
            <w:r>
              <w:rPr>
                <w:sz w:val="20"/>
              </w:rPr>
              <w:t xml:space="preserve">Департамент архитектуры и строительства Владимирской области</w:t>
            </w:r>
          </w:p>
        </w:tc>
        <w:tc>
          <w:tcPr>
            <w:tcW w:w="1587" w:type="dxa"/>
          </w:tcPr>
          <w:p>
            <w:pPr>
              <w:pStyle w:val="0"/>
              <w:jc w:val="center"/>
            </w:pPr>
            <w:r>
              <w:rPr>
                <w:sz w:val="20"/>
              </w:rPr>
              <w:t xml:space="preserve">5893962,2</w:t>
            </w:r>
          </w:p>
        </w:tc>
        <w:tc>
          <w:tcPr>
            <w:tcW w:w="1587" w:type="dxa"/>
          </w:tcPr>
          <w:p>
            <w:pPr>
              <w:pStyle w:val="0"/>
              <w:jc w:val="center"/>
            </w:pPr>
            <w:r>
              <w:rPr>
                <w:sz w:val="20"/>
              </w:rPr>
              <w:t xml:space="preserve">2030582,2</w:t>
            </w:r>
          </w:p>
        </w:tc>
        <w:tc>
          <w:tcPr>
            <w:tcW w:w="1587" w:type="dxa"/>
          </w:tcPr>
          <w:p>
            <w:pPr>
              <w:pStyle w:val="0"/>
              <w:jc w:val="center"/>
            </w:pPr>
            <w:r>
              <w:rPr>
                <w:sz w:val="20"/>
              </w:rPr>
              <w:t xml:space="preserve">748477,5</w:t>
            </w:r>
          </w:p>
        </w:tc>
      </w:tr>
      <w:tr>
        <w:tc>
          <w:tcPr>
            <w:tcW w:w="680" w:type="dxa"/>
          </w:tcPr>
          <w:p>
            <w:pPr>
              <w:pStyle w:val="0"/>
            </w:pPr>
            <w:r>
              <w:rPr>
                <w:sz w:val="20"/>
              </w:rPr>
            </w:r>
          </w:p>
        </w:tc>
        <w:tc>
          <w:tcPr>
            <w:tcW w:w="3628" w:type="dxa"/>
          </w:tcPr>
          <w:p>
            <w:pPr>
              <w:pStyle w:val="0"/>
            </w:pPr>
            <w:r>
              <w:rPr>
                <w:sz w:val="20"/>
              </w:rPr>
              <w:t xml:space="preserve">Департамент жилищно-коммунального хозяйства Владимирской области</w:t>
            </w:r>
          </w:p>
        </w:tc>
        <w:tc>
          <w:tcPr>
            <w:tcW w:w="1587" w:type="dxa"/>
          </w:tcPr>
          <w:p>
            <w:pPr>
              <w:pStyle w:val="0"/>
              <w:jc w:val="center"/>
            </w:pPr>
            <w:r>
              <w:rPr>
                <w:sz w:val="20"/>
              </w:rPr>
              <w:t xml:space="preserve">3544927,5</w:t>
            </w:r>
          </w:p>
        </w:tc>
        <w:tc>
          <w:tcPr>
            <w:tcW w:w="1587" w:type="dxa"/>
          </w:tcPr>
          <w:p>
            <w:pPr>
              <w:pStyle w:val="0"/>
              <w:jc w:val="center"/>
            </w:pPr>
            <w:r>
              <w:rPr>
                <w:sz w:val="20"/>
              </w:rPr>
              <w:t xml:space="preserve">1639332,1</w:t>
            </w:r>
          </w:p>
        </w:tc>
        <w:tc>
          <w:tcPr>
            <w:tcW w:w="1587" w:type="dxa"/>
          </w:tcPr>
          <w:p>
            <w:pPr>
              <w:pStyle w:val="0"/>
              <w:jc w:val="center"/>
            </w:pPr>
            <w:r>
              <w:rPr>
                <w:sz w:val="20"/>
              </w:rPr>
              <w:t xml:space="preserve">2367952,3</w:t>
            </w:r>
          </w:p>
        </w:tc>
      </w:tr>
      <w:tr>
        <w:tc>
          <w:tcPr>
            <w:tcW w:w="680" w:type="dxa"/>
          </w:tcPr>
          <w:p>
            <w:pPr>
              <w:pStyle w:val="0"/>
            </w:pPr>
            <w:r>
              <w:rPr>
                <w:sz w:val="20"/>
              </w:rPr>
            </w:r>
          </w:p>
        </w:tc>
        <w:tc>
          <w:tcPr>
            <w:tcW w:w="3628" w:type="dxa"/>
          </w:tcPr>
          <w:p>
            <w:pPr>
              <w:pStyle w:val="0"/>
            </w:pPr>
            <w:r>
              <w:rPr>
                <w:sz w:val="20"/>
              </w:rPr>
              <w:t xml:space="preserve">Инспекция государственного жилищного надзора Владимирской области</w:t>
            </w:r>
          </w:p>
        </w:tc>
        <w:tc>
          <w:tcPr>
            <w:tcW w:w="1587" w:type="dxa"/>
          </w:tcPr>
          <w:p>
            <w:pPr>
              <w:pStyle w:val="0"/>
              <w:jc w:val="center"/>
            </w:pPr>
            <w:r>
              <w:rPr>
                <w:sz w:val="20"/>
              </w:rPr>
              <w:t xml:space="preserve">38727,3</w:t>
            </w:r>
          </w:p>
        </w:tc>
        <w:tc>
          <w:tcPr>
            <w:tcW w:w="1587" w:type="dxa"/>
          </w:tcPr>
          <w:p>
            <w:pPr>
              <w:pStyle w:val="0"/>
              <w:jc w:val="center"/>
            </w:pPr>
            <w:r>
              <w:rPr>
                <w:sz w:val="20"/>
              </w:rPr>
              <w:t xml:space="preserve">38727,3</w:t>
            </w:r>
          </w:p>
        </w:tc>
        <w:tc>
          <w:tcPr>
            <w:tcW w:w="1587" w:type="dxa"/>
          </w:tcPr>
          <w:p>
            <w:pPr>
              <w:pStyle w:val="0"/>
              <w:jc w:val="center"/>
            </w:pPr>
            <w:r>
              <w:rPr>
                <w:sz w:val="20"/>
              </w:rPr>
              <w:t xml:space="preserve">38727,3</w:t>
            </w:r>
          </w:p>
        </w:tc>
      </w:tr>
      <w:tr>
        <w:tc>
          <w:tcPr>
            <w:tcW w:w="680" w:type="dxa"/>
          </w:tcPr>
          <w:p>
            <w:pPr>
              <w:pStyle w:val="0"/>
            </w:pPr>
            <w:r>
              <w:rPr>
                <w:sz w:val="20"/>
              </w:rPr>
            </w:r>
          </w:p>
        </w:tc>
        <w:tc>
          <w:tcPr>
            <w:tcW w:w="3628" w:type="dxa"/>
          </w:tcPr>
          <w:p>
            <w:pPr>
              <w:pStyle w:val="0"/>
            </w:pPr>
            <w:r>
              <w:rPr>
                <w:sz w:val="20"/>
              </w:rPr>
              <w:t xml:space="preserve">Департамент государственного регулирования цен и тарифов Владимирской области</w:t>
            </w:r>
          </w:p>
        </w:tc>
        <w:tc>
          <w:tcPr>
            <w:tcW w:w="1587" w:type="dxa"/>
          </w:tcPr>
          <w:p>
            <w:pPr>
              <w:pStyle w:val="0"/>
              <w:jc w:val="center"/>
            </w:pPr>
            <w:r>
              <w:rPr>
                <w:sz w:val="20"/>
              </w:rPr>
              <w:t xml:space="preserve">42748,3</w:t>
            </w:r>
          </w:p>
        </w:tc>
        <w:tc>
          <w:tcPr>
            <w:tcW w:w="1587" w:type="dxa"/>
          </w:tcPr>
          <w:p>
            <w:pPr>
              <w:pStyle w:val="0"/>
              <w:jc w:val="center"/>
            </w:pPr>
            <w:r>
              <w:rPr>
                <w:sz w:val="20"/>
              </w:rPr>
              <w:t xml:space="preserve">42748,3</w:t>
            </w:r>
          </w:p>
        </w:tc>
        <w:tc>
          <w:tcPr>
            <w:tcW w:w="1587" w:type="dxa"/>
          </w:tcPr>
          <w:p>
            <w:pPr>
              <w:pStyle w:val="0"/>
              <w:jc w:val="center"/>
            </w:pPr>
            <w:r>
              <w:rPr>
                <w:sz w:val="20"/>
              </w:rPr>
              <w:t xml:space="preserve">42748,3</w:t>
            </w:r>
          </w:p>
        </w:tc>
      </w:tr>
      <w:tr>
        <w:tc>
          <w:tcPr>
            <w:tcW w:w="680" w:type="dxa"/>
          </w:tcPr>
          <w:p>
            <w:pPr>
              <w:pStyle w:val="0"/>
            </w:pPr>
            <w:r>
              <w:rPr>
                <w:sz w:val="20"/>
              </w:rPr>
            </w:r>
          </w:p>
        </w:tc>
        <w:tc>
          <w:tcPr>
            <w:tcW w:w="3628" w:type="dxa"/>
          </w:tcPr>
          <w:p>
            <w:pPr>
              <w:pStyle w:val="0"/>
            </w:pPr>
            <w:r>
              <w:rPr>
                <w:sz w:val="20"/>
              </w:rPr>
              <w:t xml:space="preserve">Департамент экономического развития Владимирской области</w:t>
            </w:r>
          </w:p>
        </w:tc>
        <w:tc>
          <w:tcPr>
            <w:tcW w:w="1587" w:type="dxa"/>
          </w:tcPr>
          <w:p>
            <w:pPr>
              <w:pStyle w:val="0"/>
              <w:jc w:val="center"/>
            </w:pPr>
            <w:r>
              <w:rPr>
                <w:sz w:val="20"/>
              </w:rPr>
              <w:t xml:space="preserve">275790,1</w:t>
            </w:r>
          </w:p>
        </w:tc>
        <w:tc>
          <w:tcPr>
            <w:tcW w:w="1587" w:type="dxa"/>
          </w:tcPr>
          <w:p>
            <w:pPr>
              <w:pStyle w:val="0"/>
              <w:jc w:val="center"/>
            </w:pPr>
            <w:r>
              <w:rPr>
                <w:sz w:val="20"/>
              </w:rPr>
              <w:t xml:space="preserve">269676,9</w:t>
            </w:r>
          </w:p>
        </w:tc>
        <w:tc>
          <w:tcPr>
            <w:tcW w:w="1587" w:type="dxa"/>
          </w:tcPr>
          <w:p>
            <w:pPr>
              <w:pStyle w:val="0"/>
              <w:jc w:val="center"/>
            </w:pPr>
            <w:r>
              <w:rPr>
                <w:sz w:val="20"/>
              </w:rPr>
              <w:t xml:space="preserve">269676,9</w:t>
            </w:r>
          </w:p>
        </w:tc>
      </w:tr>
      <w:tr>
        <w:tc>
          <w:tcPr>
            <w:tcW w:w="680" w:type="dxa"/>
          </w:tcPr>
          <w:p>
            <w:pPr>
              <w:pStyle w:val="0"/>
            </w:pPr>
            <w:r>
              <w:rPr>
                <w:sz w:val="20"/>
              </w:rPr>
            </w:r>
          </w:p>
        </w:tc>
        <w:tc>
          <w:tcPr>
            <w:tcW w:w="3628" w:type="dxa"/>
          </w:tcPr>
          <w:p>
            <w:pPr>
              <w:pStyle w:val="0"/>
            </w:pPr>
            <w:r>
              <w:rPr>
                <w:sz w:val="20"/>
              </w:rPr>
              <w:t xml:space="preserve">Департамент предпринимательства Владимирской области</w:t>
            </w:r>
          </w:p>
        </w:tc>
        <w:tc>
          <w:tcPr>
            <w:tcW w:w="1587" w:type="dxa"/>
          </w:tcPr>
          <w:p>
            <w:pPr>
              <w:pStyle w:val="0"/>
              <w:jc w:val="center"/>
            </w:pPr>
            <w:r>
              <w:rPr>
                <w:sz w:val="20"/>
              </w:rPr>
              <w:t xml:space="preserve">235992,2</w:t>
            </w:r>
          </w:p>
        </w:tc>
        <w:tc>
          <w:tcPr>
            <w:tcW w:w="1587" w:type="dxa"/>
          </w:tcPr>
          <w:p>
            <w:pPr>
              <w:pStyle w:val="0"/>
              <w:jc w:val="center"/>
            </w:pPr>
            <w:r>
              <w:rPr>
                <w:sz w:val="20"/>
              </w:rPr>
              <w:t xml:space="preserve">223542,7</w:t>
            </w:r>
          </w:p>
        </w:tc>
        <w:tc>
          <w:tcPr>
            <w:tcW w:w="1587" w:type="dxa"/>
          </w:tcPr>
          <w:p>
            <w:pPr>
              <w:pStyle w:val="0"/>
              <w:jc w:val="center"/>
            </w:pPr>
            <w:r>
              <w:rPr>
                <w:sz w:val="20"/>
              </w:rPr>
              <w:t xml:space="preserve">223542,7</w:t>
            </w:r>
          </w:p>
        </w:tc>
      </w:tr>
      <w:tr>
        <w:tc>
          <w:tcPr>
            <w:tcW w:w="680" w:type="dxa"/>
          </w:tcPr>
          <w:p>
            <w:pPr>
              <w:pStyle w:val="0"/>
            </w:pPr>
            <w:r>
              <w:rPr>
                <w:sz w:val="20"/>
              </w:rPr>
            </w:r>
          </w:p>
        </w:tc>
        <w:tc>
          <w:tcPr>
            <w:tcW w:w="3628" w:type="dxa"/>
          </w:tcPr>
          <w:p>
            <w:pPr>
              <w:pStyle w:val="0"/>
            </w:pPr>
            <w:r>
              <w:rPr>
                <w:sz w:val="20"/>
              </w:rPr>
              <w:t xml:space="preserve">Департамент природопользования и охраны окружающей среды Владимирской области</w:t>
            </w:r>
          </w:p>
        </w:tc>
        <w:tc>
          <w:tcPr>
            <w:tcW w:w="1587" w:type="dxa"/>
          </w:tcPr>
          <w:p>
            <w:pPr>
              <w:pStyle w:val="0"/>
              <w:jc w:val="center"/>
            </w:pPr>
            <w:r>
              <w:rPr>
                <w:sz w:val="20"/>
              </w:rPr>
              <w:t xml:space="preserve">81391,6</w:t>
            </w:r>
          </w:p>
        </w:tc>
        <w:tc>
          <w:tcPr>
            <w:tcW w:w="1587" w:type="dxa"/>
          </w:tcPr>
          <w:p>
            <w:pPr>
              <w:pStyle w:val="0"/>
              <w:jc w:val="center"/>
            </w:pPr>
            <w:r>
              <w:rPr>
                <w:sz w:val="20"/>
              </w:rPr>
              <w:t xml:space="preserve">97248,4</w:t>
            </w:r>
          </w:p>
        </w:tc>
        <w:tc>
          <w:tcPr>
            <w:tcW w:w="1587" w:type="dxa"/>
          </w:tcPr>
          <w:p>
            <w:pPr>
              <w:pStyle w:val="0"/>
              <w:jc w:val="center"/>
            </w:pPr>
            <w:r>
              <w:rPr>
                <w:sz w:val="20"/>
              </w:rPr>
              <w:t xml:space="preserve">97248,4</w:t>
            </w:r>
          </w:p>
        </w:tc>
      </w:tr>
      <w:tr>
        <w:tc>
          <w:tcPr>
            <w:tcW w:w="680" w:type="dxa"/>
          </w:tcPr>
          <w:p>
            <w:pPr>
              <w:pStyle w:val="0"/>
            </w:pPr>
            <w:r>
              <w:rPr>
                <w:sz w:val="20"/>
              </w:rPr>
            </w:r>
          </w:p>
        </w:tc>
        <w:tc>
          <w:tcPr>
            <w:tcW w:w="3628" w:type="dxa"/>
          </w:tcPr>
          <w:p>
            <w:pPr>
              <w:pStyle w:val="0"/>
            </w:pPr>
            <w:r>
              <w:rPr>
                <w:sz w:val="20"/>
              </w:rPr>
              <w:t xml:space="preserve">Департамент труда и занятости населения Владимирской области</w:t>
            </w:r>
          </w:p>
        </w:tc>
        <w:tc>
          <w:tcPr>
            <w:tcW w:w="1587" w:type="dxa"/>
          </w:tcPr>
          <w:p>
            <w:pPr>
              <w:pStyle w:val="0"/>
              <w:jc w:val="center"/>
            </w:pPr>
            <w:r>
              <w:rPr>
                <w:sz w:val="20"/>
              </w:rPr>
              <w:t xml:space="preserve">877508,3</w:t>
            </w:r>
          </w:p>
        </w:tc>
        <w:tc>
          <w:tcPr>
            <w:tcW w:w="1587" w:type="dxa"/>
          </w:tcPr>
          <w:p>
            <w:pPr>
              <w:pStyle w:val="0"/>
              <w:jc w:val="center"/>
            </w:pPr>
            <w:r>
              <w:rPr>
                <w:sz w:val="20"/>
              </w:rPr>
              <w:t xml:space="preserve">877508,3</w:t>
            </w:r>
          </w:p>
        </w:tc>
        <w:tc>
          <w:tcPr>
            <w:tcW w:w="1587" w:type="dxa"/>
          </w:tcPr>
          <w:p>
            <w:pPr>
              <w:pStyle w:val="0"/>
              <w:jc w:val="center"/>
            </w:pPr>
            <w:r>
              <w:rPr>
                <w:sz w:val="20"/>
              </w:rPr>
              <w:t xml:space="preserve">872008,3</w:t>
            </w:r>
          </w:p>
        </w:tc>
      </w:tr>
      <w:tr>
        <w:tc>
          <w:tcPr>
            <w:tcW w:w="680" w:type="dxa"/>
          </w:tcPr>
          <w:p>
            <w:pPr>
              <w:pStyle w:val="0"/>
            </w:pPr>
            <w:r>
              <w:rPr>
                <w:sz w:val="20"/>
              </w:rPr>
            </w:r>
          </w:p>
        </w:tc>
        <w:tc>
          <w:tcPr>
            <w:tcW w:w="3628" w:type="dxa"/>
          </w:tcPr>
          <w:p>
            <w:pPr>
              <w:pStyle w:val="0"/>
            </w:pPr>
            <w:r>
              <w:rPr>
                <w:sz w:val="20"/>
              </w:rPr>
              <w:t xml:space="preserve">Департамент лесного хозяйства Владимирской области</w:t>
            </w:r>
          </w:p>
        </w:tc>
        <w:tc>
          <w:tcPr>
            <w:tcW w:w="1587" w:type="dxa"/>
          </w:tcPr>
          <w:p>
            <w:pPr>
              <w:pStyle w:val="0"/>
              <w:jc w:val="center"/>
            </w:pPr>
            <w:r>
              <w:rPr>
                <w:sz w:val="20"/>
              </w:rPr>
              <w:t xml:space="preserve">499683,9</w:t>
            </w:r>
          </w:p>
        </w:tc>
        <w:tc>
          <w:tcPr>
            <w:tcW w:w="1587" w:type="dxa"/>
          </w:tcPr>
          <w:p>
            <w:pPr>
              <w:pStyle w:val="0"/>
              <w:jc w:val="center"/>
            </w:pPr>
            <w:r>
              <w:rPr>
                <w:sz w:val="20"/>
              </w:rPr>
              <w:t xml:space="preserve">551293,7</w:t>
            </w:r>
          </w:p>
        </w:tc>
        <w:tc>
          <w:tcPr>
            <w:tcW w:w="1587" w:type="dxa"/>
          </w:tcPr>
          <w:p>
            <w:pPr>
              <w:pStyle w:val="0"/>
              <w:jc w:val="center"/>
            </w:pPr>
            <w:r>
              <w:rPr>
                <w:sz w:val="20"/>
              </w:rPr>
              <w:t xml:space="preserve">551293,7</w:t>
            </w:r>
          </w:p>
        </w:tc>
      </w:tr>
      <w:tr>
        <w:tc>
          <w:tcPr>
            <w:tcW w:w="680" w:type="dxa"/>
          </w:tcPr>
          <w:p>
            <w:pPr>
              <w:pStyle w:val="0"/>
            </w:pPr>
            <w:r>
              <w:rPr>
                <w:sz w:val="20"/>
              </w:rPr>
            </w:r>
          </w:p>
        </w:tc>
        <w:tc>
          <w:tcPr>
            <w:tcW w:w="3628" w:type="dxa"/>
          </w:tcPr>
          <w:p>
            <w:pPr>
              <w:pStyle w:val="0"/>
            </w:pPr>
            <w:r>
              <w:rPr>
                <w:sz w:val="20"/>
              </w:rPr>
              <w:t xml:space="preserve">Департамент здравоохранения Владимирской области</w:t>
            </w:r>
          </w:p>
        </w:tc>
        <w:tc>
          <w:tcPr>
            <w:tcW w:w="1587" w:type="dxa"/>
          </w:tcPr>
          <w:p>
            <w:pPr>
              <w:pStyle w:val="0"/>
              <w:jc w:val="center"/>
            </w:pPr>
            <w:r>
              <w:rPr>
                <w:sz w:val="20"/>
              </w:rPr>
              <w:t xml:space="preserve">13996755,9</w:t>
            </w:r>
          </w:p>
        </w:tc>
        <w:tc>
          <w:tcPr>
            <w:tcW w:w="1587" w:type="dxa"/>
          </w:tcPr>
          <w:p>
            <w:pPr>
              <w:pStyle w:val="0"/>
              <w:jc w:val="center"/>
            </w:pPr>
            <w:r>
              <w:rPr>
                <w:sz w:val="20"/>
              </w:rPr>
              <w:t xml:space="preserve">14037966,4</w:t>
            </w:r>
          </w:p>
        </w:tc>
        <w:tc>
          <w:tcPr>
            <w:tcW w:w="1587" w:type="dxa"/>
          </w:tcPr>
          <w:p>
            <w:pPr>
              <w:pStyle w:val="0"/>
              <w:jc w:val="center"/>
            </w:pPr>
            <w:r>
              <w:rPr>
                <w:sz w:val="20"/>
              </w:rPr>
              <w:t xml:space="preserve">14374874,5</w:t>
            </w:r>
          </w:p>
        </w:tc>
      </w:tr>
      <w:tr>
        <w:tc>
          <w:tcPr>
            <w:tcW w:w="680" w:type="dxa"/>
          </w:tcPr>
          <w:p>
            <w:pPr>
              <w:pStyle w:val="0"/>
            </w:pPr>
            <w:r>
              <w:rPr>
                <w:sz w:val="20"/>
              </w:rPr>
            </w:r>
          </w:p>
        </w:tc>
        <w:tc>
          <w:tcPr>
            <w:tcW w:w="3628" w:type="dxa"/>
          </w:tcPr>
          <w:p>
            <w:pPr>
              <w:pStyle w:val="0"/>
            </w:pPr>
            <w:r>
              <w:rPr>
                <w:sz w:val="20"/>
              </w:rPr>
              <w:t xml:space="preserve">Департамент культуры Владимирской области</w:t>
            </w:r>
          </w:p>
        </w:tc>
        <w:tc>
          <w:tcPr>
            <w:tcW w:w="1587" w:type="dxa"/>
          </w:tcPr>
          <w:p>
            <w:pPr>
              <w:pStyle w:val="0"/>
              <w:jc w:val="center"/>
            </w:pPr>
            <w:r>
              <w:rPr>
                <w:sz w:val="20"/>
              </w:rPr>
              <w:t xml:space="preserve">2066420,8</w:t>
            </w:r>
          </w:p>
        </w:tc>
        <w:tc>
          <w:tcPr>
            <w:tcW w:w="1587" w:type="dxa"/>
          </w:tcPr>
          <w:p>
            <w:pPr>
              <w:pStyle w:val="0"/>
              <w:jc w:val="center"/>
            </w:pPr>
            <w:r>
              <w:rPr>
                <w:sz w:val="20"/>
              </w:rPr>
              <w:t xml:space="preserve">2760915,2</w:t>
            </w:r>
          </w:p>
        </w:tc>
        <w:tc>
          <w:tcPr>
            <w:tcW w:w="1587" w:type="dxa"/>
          </w:tcPr>
          <w:p>
            <w:pPr>
              <w:pStyle w:val="0"/>
              <w:jc w:val="center"/>
            </w:pPr>
            <w:r>
              <w:rPr>
                <w:sz w:val="20"/>
              </w:rPr>
              <w:t xml:space="preserve">2758991,6</w:t>
            </w:r>
          </w:p>
        </w:tc>
      </w:tr>
      <w:tr>
        <w:tc>
          <w:tcPr>
            <w:tcW w:w="680" w:type="dxa"/>
          </w:tcPr>
          <w:p>
            <w:pPr>
              <w:pStyle w:val="0"/>
            </w:pPr>
            <w:r>
              <w:rPr>
                <w:sz w:val="20"/>
              </w:rPr>
            </w:r>
          </w:p>
        </w:tc>
        <w:tc>
          <w:tcPr>
            <w:tcW w:w="3628" w:type="dxa"/>
          </w:tcPr>
          <w:p>
            <w:pPr>
              <w:pStyle w:val="0"/>
            </w:pPr>
            <w:r>
              <w:rPr>
                <w:sz w:val="20"/>
              </w:rPr>
              <w:t xml:space="preserve">Инспекция государственной охраны объектов культурного наследия Владимирской области</w:t>
            </w:r>
          </w:p>
        </w:tc>
        <w:tc>
          <w:tcPr>
            <w:tcW w:w="1587" w:type="dxa"/>
          </w:tcPr>
          <w:p>
            <w:pPr>
              <w:pStyle w:val="0"/>
              <w:jc w:val="center"/>
            </w:pPr>
            <w:r>
              <w:rPr>
                <w:sz w:val="20"/>
              </w:rPr>
              <w:t xml:space="preserve">22845,4</w:t>
            </w:r>
          </w:p>
        </w:tc>
        <w:tc>
          <w:tcPr>
            <w:tcW w:w="1587" w:type="dxa"/>
          </w:tcPr>
          <w:p>
            <w:pPr>
              <w:pStyle w:val="0"/>
              <w:jc w:val="center"/>
            </w:pPr>
            <w:r>
              <w:rPr>
                <w:sz w:val="20"/>
              </w:rPr>
              <w:t xml:space="preserve">23088,3</w:t>
            </w:r>
          </w:p>
        </w:tc>
        <w:tc>
          <w:tcPr>
            <w:tcW w:w="1587" w:type="dxa"/>
          </w:tcPr>
          <w:p>
            <w:pPr>
              <w:pStyle w:val="0"/>
              <w:jc w:val="center"/>
            </w:pPr>
            <w:r>
              <w:rPr>
                <w:sz w:val="20"/>
              </w:rPr>
              <w:t xml:space="preserve">23088,3</w:t>
            </w:r>
          </w:p>
        </w:tc>
      </w:tr>
      <w:tr>
        <w:tc>
          <w:tcPr>
            <w:tcW w:w="680" w:type="dxa"/>
          </w:tcPr>
          <w:p>
            <w:pPr>
              <w:pStyle w:val="0"/>
            </w:pPr>
            <w:r>
              <w:rPr>
                <w:sz w:val="20"/>
              </w:rPr>
            </w:r>
          </w:p>
        </w:tc>
        <w:tc>
          <w:tcPr>
            <w:tcW w:w="3628" w:type="dxa"/>
          </w:tcPr>
          <w:p>
            <w:pPr>
              <w:pStyle w:val="0"/>
            </w:pPr>
            <w:r>
              <w:rPr>
                <w:sz w:val="20"/>
              </w:rPr>
              <w:t xml:space="preserve">Департамент социальной защиты населения Владимирской области</w:t>
            </w:r>
          </w:p>
        </w:tc>
        <w:tc>
          <w:tcPr>
            <w:tcW w:w="1587" w:type="dxa"/>
          </w:tcPr>
          <w:p>
            <w:pPr>
              <w:pStyle w:val="0"/>
              <w:jc w:val="center"/>
            </w:pPr>
            <w:r>
              <w:rPr>
                <w:sz w:val="20"/>
              </w:rPr>
              <w:t xml:space="preserve">16487878,4</w:t>
            </w:r>
          </w:p>
        </w:tc>
        <w:tc>
          <w:tcPr>
            <w:tcW w:w="1587" w:type="dxa"/>
          </w:tcPr>
          <w:p>
            <w:pPr>
              <w:pStyle w:val="0"/>
              <w:jc w:val="center"/>
            </w:pPr>
            <w:r>
              <w:rPr>
                <w:sz w:val="20"/>
              </w:rPr>
              <w:t xml:space="preserve">16936196,6</w:t>
            </w:r>
          </w:p>
        </w:tc>
        <w:tc>
          <w:tcPr>
            <w:tcW w:w="1587" w:type="dxa"/>
          </w:tcPr>
          <w:p>
            <w:pPr>
              <w:pStyle w:val="0"/>
              <w:jc w:val="center"/>
            </w:pPr>
            <w:r>
              <w:rPr>
                <w:sz w:val="20"/>
              </w:rPr>
              <w:t xml:space="preserve">16936196,6</w:t>
            </w:r>
          </w:p>
        </w:tc>
      </w:tr>
      <w:tr>
        <w:tc>
          <w:tcPr>
            <w:tcW w:w="680" w:type="dxa"/>
          </w:tcPr>
          <w:p>
            <w:pPr>
              <w:pStyle w:val="0"/>
            </w:pPr>
            <w:r>
              <w:rPr>
                <w:sz w:val="20"/>
              </w:rPr>
            </w:r>
          </w:p>
        </w:tc>
        <w:tc>
          <w:tcPr>
            <w:tcW w:w="3628" w:type="dxa"/>
          </w:tcPr>
          <w:p>
            <w:pPr>
              <w:pStyle w:val="0"/>
            </w:pPr>
            <w:r>
              <w:rPr>
                <w:sz w:val="20"/>
              </w:rPr>
              <w:t xml:space="preserve">Департамент имущественных и земельных отношений Владимирской области</w:t>
            </w:r>
          </w:p>
        </w:tc>
        <w:tc>
          <w:tcPr>
            <w:tcW w:w="1587" w:type="dxa"/>
          </w:tcPr>
          <w:p>
            <w:pPr>
              <w:pStyle w:val="0"/>
              <w:jc w:val="center"/>
            </w:pPr>
            <w:r>
              <w:rPr>
                <w:sz w:val="20"/>
              </w:rPr>
              <w:t xml:space="preserve">315804,3</w:t>
            </w:r>
          </w:p>
        </w:tc>
        <w:tc>
          <w:tcPr>
            <w:tcW w:w="1587" w:type="dxa"/>
          </w:tcPr>
          <w:p>
            <w:pPr>
              <w:pStyle w:val="0"/>
              <w:jc w:val="center"/>
            </w:pPr>
            <w:r>
              <w:rPr>
                <w:sz w:val="20"/>
              </w:rPr>
              <w:t xml:space="preserve">315804,3</w:t>
            </w:r>
          </w:p>
        </w:tc>
        <w:tc>
          <w:tcPr>
            <w:tcW w:w="1587" w:type="dxa"/>
          </w:tcPr>
          <w:p>
            <w:pPr>
              <w:pStyle w:val="0"/>
              <w:jc w:val="center"/>
            </w:pPr>
            <w:r>
              <w:rPr>
                <w:sz w:val="20"/>
              </w:rPr>
              <w:t xml:space="preserve">315804,3</w:t>
            </w:r>
          </w:p>
        </w:tc>
      </w:tr>
      <w:tr>
        <w:tc>
          <w:tcPr>
            <w:tcW w:w="680" w:type="dxa"/>
          </w:tcPr>
          <w:p>
            <w:pPr>
              <w:pStyle w:val="0"/>
            </w:pPr>
            <w:r>
              <w:rPr>
                <w:sz w:val="20"/>
              </w:rPr>
            </w:r>
          </w:p>
        </w:tc>
        <w:tc>
          <w:tcPr>
            <w:tcW w:w="3628" w:type="dxa"/>
          </w:tcPr>
          <w:p>
            <w:pPr>
              <w:pStyle w:val="0"/>
            </w:pPr>
            <w:r>
              <w:rPr>
                <w:sz w:val="20"/>
              </w:rPr>
              <w:t xml:space="preserve">Департамент физической культуры и спорта Владимирской области</w:t>
            </w:r>
          </w:p>
        </w:tc>
        <w:tc>
          <w:tcPr>
            <w:tcW w:w="1587" w:type="dxa"/>
          </w:tcPr>
          <w:p>
            <w:pPr>
              <w:pStyle w:val="0"/>
              <w:jc w:val="center"/>
            </w:pPr>
            <w:r>
              <w:rPr>
                <w:sz w:val="20"/>
              </w:rPr>
              <w:t xml:space="preserve">1112401,5</w:t>
            </w:r>
          </w:p>
        </w:tc>
        <w:tc>
          <w:tcPr>
            <w:tcW w:w="1587" w:type="dxa"/>
          </w:tcPr>
          <w:p>
            <w:pPr>
              <w:pStyle w:val="0"/>
              <w:jc w:val="center"/>
            </w:pPr>
            <w:r>
              <w:rPr>
                <w:sz w:val="20"/>
              </w:rPr>
              <w:t xml:space="preserve">1419935,0</w:t>
            </w:r>
          </w:p>
        </w:tc>
        <w:tc>
          <w:tcPr>
            <w:tcW w:w="1587" w:type="dxa"/>
          </w:tcPr>
          <w:p>
            <w:pPr>
              <w:pStyle w:val="0"/>
              <w:jc w:val="center"/>
            </w:pPr>
            <w:r>
              <w:rPr>
                <w:sz w:val="20"/>
              </w:rPr>
              <w:t xml:space="preserve">1102111,1</w:t>
            </w:r>
          </w:p>
        </w:tc>
      </w:tr>
      <w:tr>
        <w:tc>
          <w:tcPr>
            <w:tcW w:w="680" w:type="dxa"/>
          </w:tcPr>
          <w:p>
            <w:pPr>
              <w:pStyle w:val="0"/>
            </w:pPr>
            <w:r>
              <w:rPr>
                <w:sz w:val="20"/>
              </w:rPr>
            </w:r>
          </w:p>
        </w:tc>
        <w:tc>
          <w:tcPr>
            <w:tcW w:w="3628" w:type="dxa"/>
          </w:tcPr>
          <w:p>
            <w:pPr>
              <w:pStyle w:val="0"/>
            </w:pPr>
            <w:r>
              <w:rPr>
                <w:sz w:val="20"/>
              </w:rPr>
              <w:t xml:space="preserve">Департамент цифрового развития Владимирской области</w:t>
            </w:r>
          </w:p>
        </w:tc>
        <w:tc>
          <w:tcPr>
            <w:tcW w:w="1587" w:type="dxa"/>
          </w:tcPr>
          <w:p>
            <w:pPr>
              <w:pStyle w:val="0"/>
              <w:jc w:val="center"/>
            </w:pPr>
            <w:r>
              <w:rPr>
                <w:sz w:val="20"/>
              </w:rPr>
              <w:t xml:space="preserve">137702,1</w:t>
            </w:r>
          </w:p>
        </w:tc>
        <w:tc>
          <w:tcPr>
            <w:tcW w:w="1587" w:type="dxa"/>
          </w:tcPr>
          <w:p>
            <w:pPr>
              <w:pStyle w:val="0"/>
              <w:jc w:val="center"/>
            </w:pPr>
            <w:r>
              <w:rPr>
                <w:sz w:val="20"/>
              </w:rPr>
              <w:t xml:space="preserve">365491,6</w:t>
            </w:r>
          </w:p>
        </w:tc>
        <w:tc>
          <w:tcPr>
            <w:tcW w:w="1587" w:type="dxa"/>
          </w:tcPr>
          <w:p>
            <w:pPr>
              <w:pStyle w:val="0"/>
              <w:jc w:val="center"/>
            </w:pPr>
            <w:r>
              <w:rPr>
                <w:sz w:val="20"/>
              </w:rPr>
              <w:t xml:space="preserve">67239,9</w:t>
            </w:r>
          </w:p>
        </w:tc>
      </w:tr>
      <w:tr>
        <w:tc>
          <w:tcPr>
            <w:tcW w:w="680" w:type="dxa"/>
          </w:tcPr>
          <w:p>
            <w:pPr>
              <w:pStyle w:val="0"/>
            </w:pPr>
            <w:r>
              <w:rPr>
                <w:sz w:val="20"/>
              </w:rPr>
            </w:r>
          </w:p>
        </w:tc>
        <w:tc>
          <w:tcPr>
            <w:tcW w:w="3628" w:type="dxa"/>
          </w:tcPr>
          <w:p>
            <w:pPr>
              <w:pStyle w:val="0"/>
            </w:pPr>
            <w:r>
              <w:rPr>
                <w:sz w:val="20"/>
              </w:rPr>
              <w:t xml:space="preserve">Департамент образования Владимирской области</w:t>
            </w:r>
          </w:p>
        </w:tc>
        <w:tc>
          <w:tcPr>
            <w:tcW w:w="1587" w:type="dxa"/>
          </w:tcPr>
          <w:p>
            <w:pPr>
              <w:pStyle w:val="0"/>
              <w:jc w:val="center"/>
            </w:pPr>
            <w:r>
              <w:rPr>
                <w:sz w:val="20"/>
              </w:rPr>
              <w:t xml:space="preserve">20732994,6</w:t>
            </w:r>
          </w:p>
        </w:tc>
        <w:tc>
          <w:tcPr>
            <w:tcW w:w="1587" w:type="dxa"/>
          </w:tcPr>
          <w:p>
            <w:pPr>
              <w:pStyle w:val="0"/>
              <w:jc w:val="center"/>
            </w:pPr>
            <w:r>
              <w:rPr>
                <w:sz w:val="20"/>
              </w:rPr>
              <w:t xml:space="preserve">19126059,8</w:t>
            </w:r>
          </w:p>
        </w:tc>
        <w:tc>
          <w:tcPr>
            <w:tcW w:w="1587" w:type="dxa"/>
          </w:tcPr>
          <w:p>
            <w:pPr>
              <w:pStyle w:val="0"/>
              <w:jc w:val="center"/>
            </w:pPr>
            <w:r>
              <w:rPr>
                <w:sz w:val="20"/>
              </w:rPr>
              <w:t xml:space="preserve">19125856,6</w:t>
            </w:r>
          </w:p>
        </w:tc>
      </w:tr>
      <w:tr>
        <w:tc>
          <w:tcPr>
            <w:tcW w:w="680" w:type="dxa"/>
          </w:tcPr>
          <w:p>
            <w:pPr>
              <w:pStyle w:val="0"/>
            </w:pPr>
            <w:r>
              <w:rPr>
                <w:sz w:val="20"/>
              </w:rPr>
            </w:r>
          </w:p>
        </w:tc>
        <w:tc>
          <w:tcPr>
            <w:tcW w:w="3628" w:type="dxa"/>
          </w:tcPr>
          <w:p>
            <w:pPr>
              <w:pStyle w:val="0"/>
            </w:pPr>
            <w:r>
              <w:rPr>
                <w:sz w:val="20"/>
              </w:rPr>
              <w:t xml:space="preserve">Инспекция государственного надзора в сфере охраны и использования объектов животного мира Владимирской области</w:t>
            </w:r>
          </w:p>
        </w:tc>
        <w:tc>
          <w:tcPr>
            <w:tcW w:w="1587" w:type="dxa"/>
          </w:tcPr>
          <w:p>
            <w:pPr>
              <w:pStyle w:val="0"/>
              <w:jc w:val="center"/>
            </w:pPr>
            <w:r>
              <w:rPr>
                <w:sz w:val="20"/>
              </w:rPr>
              <w:t xml:space="preserve">53162,0</w:t>
            </w:r>
          </w:p>
        </w:tc>
        <w:tc>
          <w:tcPr>
            <w:tcW w:w="1587" w:type="dxa"/>
          </w:tcPr>
          <w:p>
            <w:pPr>
              <w:pStyle w:val="0"/>
              <w:jc w:val="center"/>
            </w:pPr>
            <w:r>
              <w:rPr>
                <w:sz w:val="20"/>
              </w:rPr>
              <w:t xml:space="preserve">53440,8</w:t>
            </w:r>
          </w:p>
        </w:tc>
        <w:tc>
          <w:tcPr>
            <w:tcW w:w="1587" w:type="dxa"/>
          </w:tcPr>
          <w:p>
            <w:pPr>
              <w:pStyle w:val="0"/>
              <w:jc w:val="center"/>
            </w:pPr>
            <w:r>
              <w:rPr>
                <w:sz w:val="20"/>
              </w:rPr>
              <w:t xml:space="preserve">53440,8</w:t>
            </w:r>
          </w:p>
        </w:tc>
      </w:tr>
      <w:tr>
        <w:tc>
          <w:tcPr>
            <w:tcW w:w="680" w:type="dxa"/>
          </w:tcPr>
          <w:p>
            <w:pPr>
              <w:pStyle w:val="0"/>
            </w:pPr>
            <w:r>
              <w:rPr>
                <w:sz w:val="20"/>
              </w:rPr>
            </w:r>
          </w:p>
        </w:tc>
        <w:tc>
          <w:tcPr>
            <w:tcW w:w="3628" w:type="dxa"/>
          </w:tcPr>
          <w:p>
            <w:pPr>
              <w:pStyle w:val="0"/>
            </w:pPr>
            <w:r>
              <w:rPr>
                <w:sz w:val="20"/>
              </w:rPr>
              <w:t xml:space="preserve">Департамент сельского хозяйства Владимирской области</w:t>
            </w:r>
          </w:p>
        </w:tc>
        <w:tc>
          <w:tcPr>
            <w:tcW w:w="1587" w:type="dxa"/>
          </w:tcPr>
          <w:p>
            <w:pPr>
              <w:pStyle w:val="0"/>
              <w:jc w:val="center"/>
            </w:pPr>
            <w:r>
              <w:rPr>
                <w:sz w:val="20"/>
              </w:rPr>
              <w:t xml:space="preserve">1387272,1</w:t>
            </w:r>
          </w:p>
        </w:tc>
        <w:tc>
          <w:tcPr>
            <w:tcW w:w="1587" w:type="dxa"/>
          </w:tcPr>
          <w:p>
            <w:pPr>
              <w:pStyle w:val="0"/>
              <w:jc w:val="center"/>
            </w:pPr>
            <w:r>
              <w:rPr>
                <w:sz w:val="20"/>
              </w:rPr>
              <w:t xml:space="preserve">1368250,6</w:t>
            </w:r>
          </w:p>
        </w:tc>
        <w:tc>
          <w:tcPr>
            <w:tcW w:w="1587" w:type="dxa"/>
          </w:tcPr>
          <w:p>
            <w:pPr>
              <w:pStyle w:val="0"/>
              <w:jc w:val="center"/>
            </w:pPr>
            <w:r>
              <w:rPr>
                <w:sz w:val="20"/>
              </w:rPr>
              <w:t xml:space="preserve">1257623,0</w:t>
            </w:r>
          </w:p>
        </w:tc>
      </w:tr>
      <w:tr>
        <w:tc>
          <w:tcPr>
            <w:tcW w:w="680" w:type="dxa"/>
          </w:tcPr>
          <w:p>
            <w:pPr>
              <w:pStyle w:val="0"/>
            </w:pPr>
            <w:r>
              <w:rPr>
                <w:sz w:val="20"/>
              </w:rPr>
            </w:r>
          </w:p>
        </w:tc>
        <w:tc>
          <w:tcPr>
            <w:tcW w:w="3628" w:type="dxa"/>
          </w:tcPr>
          <w:p>
            <w:pPr>
              <w:pStyle w:val="0"/>
            </w:pPr>
            <w:r>
              <w:rPr>
                <w:sz w:val="20"/>
              </w:rPr>
              <w:t xml:space="preserve">Инспекция государственного надзора за техническим состоянием самоходных машин и других видов техники Владимирской области</w:t>
            </w:r>
          </w:p>
        </w:tc>
        <w:tc>
          <w:tcPr>
            <w:tcW w:w="1587" w:type="dxa"/>
          </w:tcPr>
          <w:p>
            <w:pPr>
              <w:pStyle w:val="0"/>
              <w:jc w:val="center"/>
            </w:pPr>
            <w:r>
              <w:rPr>
                <w:sz w:val="20"/>
              </w:rPr>
              <w:t xml:space="preserve">27876,0</w:t>
            </w:r>
          </w:p>
        </w:tc>
        <w:tc>
          <w:tcPr>
            <w:tcW w:w="1587" w:type="dxa"/>
          </w:tcPr>
          <w:p>
            <w:pPr>
              <w:pStyle w:val="0"/>
              <w:jc w:val="center"/>
            </w:pPr>
            <w:r>
              <w:rPr>
                <w:sz w:val="20"/>
              </w:rPr>
              <w:t xml:space="preserve">27876,0</w:t>
            </w:r>
          </w:p>
        </w:tc>
        <w:tc>
          <w:tcPr>
            <w:tcW w:w="1587" w:type="dxa"/>
          </w:tcPr>
          <w:p>
            <w:pPr>
              <w:pStyle w:val="0"/>
              <w:jc w:val="center"/>
            </w:pPr>
            <w:r>
              <w:rPr>
                <w:sz w:val="20"/>
              </w:rPr>
              <w:t xml:space="preserve">27876,0</w:t>
            </w:r>
          </w:p>
        </w:tc>
      </w:tr>
      <w:tr>
        <w:tc>
          <w:tcPr>
            <w:tcW w:w="680" w:type="dxa"/>
          </w:tcPr>
          <w:p>
            <w:pPr>
              <w:pStyle w:val="0"/>
            </w:pPr>
            <w:r>
              <w:rPr>
                <w:sz w:val="20"/>
              </w:rPr>
            </w:r>
          </w:p>
        </w:tc>
        <w:tc>
          <w:tcPr>
            <w:tcW w:w="3628" w:type="dxa"/>
          </w:tcPr>
          <w:p>
            <w:pPr>
              <w:pStyle w:val="0"/>
            </w:pPr>
            <w:r>
              <w:rPr>
                <w:sz w:val="20"/>
              </w:rPr>
              <w:t xml:space="preserve">Департамент ветеринарии Владимирской области</w:t>
            </w:r>
          </w:p>
        </w:tc>
        <w:tc>
          <w:tcPr>
            <w:tcW w:w="1587" w:type="dxa"/>
          </w:tcPr>
          <w:p>
            <w:pPr>
              <w:pStyle w:val="0"/>
              <w:jc w:val="center"/>
            </w:pPr>
            <w:r>
              <w:rPr>
                <w:sz w:val="20"/>
              </w:rPr>
              <w:t xml:space="preserve">210764,1</w:t>
            </w:r>
          </w:p>
        </w:tc>
        <w:tc>
          <w:tcPr>
            <w:tcW w:w="1587" w:type="dxa"/>
          </w:tcPr>
          <w:p>
            <w:pPr>
              <w:pStyle w:val="0"/>
              <w:jc w:val="center"/>
            </w:pPr>
            <w:r>
              <w:rPr>
                <w:sz w:val="20"/>
              </w:rPr>
              <w:t xml:space="preserve">210764,1</w:t>
            </w:r>
          </w:p>
        </w:tc>
        <w:tc>
          <w:tcPr>
            <w:tcW w:w="1587" w:type="dxa"/>
          </w:tcPr>
          <w:p>
            <w:pPr>
              <w:pStyle w:val="0"/>
              <w:jc w:val="center"/>
            </w:pPr>
            <w:r>
              <w:rPr>
                <w:sz w:val="20"/>
              </w:rPr>
              <w:t xml:space="preserve">210764,1</w:t>
            </w:r>
          </w:p>
        </w:tc>
      </w:tr>
      <w:tr>
        <w:tc>
          <w:tcPr>
            <w:tcW w:w="680" w:type="dxa"/>
          </w:tcPr>
          <w:p>
            <w:pPr>
              <w:pStyle w:val="0"/>
            </w:pPr>
            <w:r>
              <w:rPr>
                <w:sz w:val="20"/>
              </w:rPr>
            </w:r>
          </w:p>
        </w:tc>
        <w:tc>
          <w:tcPr>
            <w:tcW w:w="3628" w:type="dxa"/>
          </w:tcPr>
          <w:p>
            <w:pPr>
              <w:pStyle w:val="0"/>
            </w:pPr>
            <w:r>
              <w:rPr>
                <w:sz w:val="20"/>
              </w:rPr>
              <w:t xml:space="preserve">Департамент безопасности Владимирской области</w:t>
            </w:r>
          </w:p>
        </w:tc>
        <w:tc>
          <w:tcPr>
            <w:tcW w:w="1587" w:type="dxa"/>
          </w:tcPr>
          <w:p>
            <w:pPr>
              <w:pStyle w:val="0"/>
              <w:jc w:val="center"/>
            </w:pPr>
            <w:r>
              <w:rPr>
                <w:sz w:val="20"/>
              </w:rPr>
              <w:t xml:space="preserve">282231,6</w:t>
            </w:r>
          </w:p>
        </w:tc>
        <w:tc>
          <w:tcPr>
            <w:tcW w:w="1587" w:type="dxa"/>
          </w:tcPr>
          <w:p>
            <w:pPr>
              <w:pStyle w:val="0"/>
              <w:jc w:val="center"/>
            </w:pPr>
            <w:r>
              <w:rPr>
                <w:sz w:val="20"/>
              </w:rPr>
              <w:t xml:space="preserve">282231,6</w:t>
            </w:r>
          </w:p>
        </w:tc>
        <w:tc>
          <w:tcPr>
            <w:tcW w:w="1587" w:type="dxa"/>
          </w:tcPr>
          <w:p>
            <w:pPr>
              <w:pStyle w:val="0"/>
              <w:jc w:val="center"/>
            </w:pPr>
            <w:r>
              <w:rPr>
                <w:sz w:val="20"/>
              </w:rPr>
              <w:t xml:space="preserve">282231,6</w:t>
            </w:r>
          </w:p>
        </w:tc>
      </w:tr>
      <w:tr>
        <w:tc>
          <w:tcPr>
            <w:tcW w:w="680" w:type="dxa"/>
          </w:tcPr>
          <w:p>
            <w:pPr>
              <w:pStyle w:val="0"/>
            </w:pPr>
            <w:r>
              <w:rPr>
                <w:sz w:val="20"/>
              </w:rPr>
            </w:r>
          </w:p>
        </w:tc>
        <w:tc>
          <w:tcPr>
            <w:tcW w:w="3628" w:type="dxa"/>
          </w:tcPr>
          <w:p>
            <w:pPr>
              <w:pStyle w:val="0"/>
            </w:pPr>
            <w:r>
              <w:rPr>
                <w:sz w:val="20"/>
              </w:rPr>
              <w:t xml:space="preserve">Департамент финансов Владимирской области</w:t>
            </w:r>
          </w:p>
        </w:tc>
        <w:tc>
          <w:tcPr>
            <w:tcW w:w="1587" w:type="dxa"/>
          </w:tcPr>
          <w:p>
            <w:pPr>
              <w:pStyle w:val="0"/>
              <w:jc w:val="center"/>
            </w:pPr>
            <w:r>
              <w:rPr>
                <w:sz w:val="20"/>
              </w:rPr>
              <w:t xml:space="preserve">5793999,5</w:t>
            </w:r>
          </w:p>
        </w:tc>
        <w:tc>
          <w:tcPr>
            <w:tcW w:w="1587" w:type="dxa"/>
          </w:tcPr>
          <w:p>
            <w:pPr>
              <w:pStyle w:val="0"/>
              <w:jc w:val="center"/>
            </w:pPr>
            <w:r>
              <w:rPr>
                <w:sz w:val="20"/>
              </w:rPr>
              <w:t xml:space="preserve">5664249,6</w:t>
            </w:r>
          </w:p>
        </w:tc>
        <w:tc>
          <w:tcPr>
            <w:tcW w:w="1587" w:type="dxa"/>
          </w:tcPr>
          <w:p>
            <w:pPr>
              <w:pStyle w:val="0"/>
              <w:jc w:val="center"/>
            </w:pPr>
            <w:r>
              <w:rPr>
                <w:sz w:val="20"/>
              </w:rPr>
              <w:t xml:space="preserve">5233280,2</w:t>
            </w:r>
          </w:p>
        </w:tc>
      </w:tr>
      <w:tr>
        <w:tc>
          <w:tcPr>
            <w:tcW w:w="680" w:type="dxa"/>
          </w:tcPr>
          <w:p>
            <w:pPr>
              <w:pStyle w:val="0"/>
            </w:pPr>
            <w:r>
              <w:rPr>
                <w:sz w:val="20"/>
              </w:rPr>
            </w:r>
          </w:p>
        </w:tc>
        <w:tc>
          <w:tcPr>
            <w:tcW w:w="3628" w:type="dxa"/>
          </w:tcPr>
          <w:p>
            <w:pPr>
              <w:pStyle w:val="0"/>
            </w:pPr>
            <w:r>
              <w:rPr>
                <w:sz w:val="20"/>
              </w:rPr>
              <w:t xml:space="preserve">Контрольно-ревизионная инспекция Владимирской области</w:t>
            </w:r>
          </w:p>
        </w:tc>
        <w:tc>
          <w:tcPr>
            <w:tcW w:w="1587" w:type="dxa"/>
          </w:tcPr>
          <w:p>
            <w:pPr>
              <w:pStyle w:val="0"/>
              <w:jc w:val="center"/>
            </w:pPr>
            <w:r>
              <w:rPr>
                <w:sz w:val="20"/>
              </w:rPr>
              <w:t xml:space="preserve">17954,9</w:t>
            </w:r>
          </w:p>
        </w:tc>
        <w:tc>
          <w:tcPr>
            <w:tcW w:w="1587" w:type="dxa"/>
          </w:tcPr>
          <w:p>
            <w:pPr>
              <w:pStyle w:val="0"/>
              <w:jc w:val="center"/>
            </w:pPr>
            <w:r>
              <w:rPr>
                <w:sz w:val="20"/>
              </w:rPr>
              <w:t xml:space="preserve">17954,9</w:t>
            </w:r>
          </w:p>
        </w:tc>
        <w:tc>
          <w:tcPr>
            <w:tcW w:w="1587" w:type="dxa"/>
          </w:tcPr>
          <w:p>
            <w:pPr>
              <w:pStyle w:val="0"/>
              <w:jc w:val="center"/>
            </w:pPr>
            <w:r>
              <w:rPr>
                <w:sz w:val="20"/>
              </w:rPr>
              <w:t xml:space="preserve">17954,9</w:t>
            </w:r>
          </w:p>
        </w:tc>
      </w:tr>
      <w:tr>
        <w:tc>
          <w:tcPr>
            <w:tcW w:w="680" w:type="dxa"/>
          </w:tcPr>
          <w:p>
            <w:pPr>
              <w:pStyle w:val="0"/>
            </w:pPr>
            <w:r>
              <w:rPr>
                <w:sz w:val="20"/>
              </w:rPr>
            </w:r>
          </w:p>
        </w:tc>
        <w:tc>
          <w:tcPr>
            <w:tcW w:w="3628" w:type="dxa"/>
          </w:tcPr>
          <w:p>
            <w:pPr>
              <w:pStyle w:val="0"/>
            </w:pPr>
            <w:r>
              <w:rPr>
                <w:sz w:val="20"/>
              </w:rPr>
              <w:t xml:space="preserve">Уполномоченный по правам человека во Владимирской области и его аппарат</w:t>
            </w:r>
          </w:p>
        </w:tc>
        <w:tc>
          <w:tcPr>
            <w:tcW w:w="1587" w:type="dxa"/>
          </w:tcPr>
          <w:p>
            <w:pPr>
              <w:pStyle w:val="0"/>
              <w:jc w:val="center"/>
            </w:pPr>
            <w:r>
              <w:rPr>
                <w:sz w:val="20"/>
              </w:rPr>
              <w:t xml:space="preserve">13619,3</w:t>
            </w:r>
          </w:p>
        </w:tc>
        <w:tc>
          <w:tcPr>
            <w:tcW w:w="1587" w:type="dxa"/>
          </w:tcPr>
          <w:p>
            <w:pPr>
              <w:pStyle w:val="0"/>
              <w:jc w:val="center"/>
            </w:pPr>
            <w:r>
              <w:rPr>
                <w:sz w:val="20"/>
              </w:rPr>
              <w:t xml:space="preserve">13619,3</w:t>
            </w:r>
          </w:p>
        </w:tc>
        <w:tc>
          <w:tcPr>
            <w:tcW w:w="1587" w:type="dxa"/>
          </w:tcPr>
          <w:p>
            <w:pPr>
              <w:pStyle w:val="0"/>
              <w:jc w:val="center"/>
            </w:pPr>
            <w:r>
              <w:rPr>
                <w:sz w:val="20"/>
              </w:rPr>
              <w:t xml:space="preserve">13619,3</w:t>
            </w:r>
          </w:p>
        </w:tc>
      </w:tr>
      <w:tr>
        <w:tc>
          <w:tcPr>
            <w:tcW w:w="680" w:type="dxa"/>
          </w:tcPr>
          <w:p>
            <w:pPr>
              <w:pStyle w:val="0"/>
            </w:pPr>
            <w:r>
              <w:rPr>
                <w:sz w:val="20"/>
              </w:rPr>
            </w:r>
          </w:p>
        </w:tc>
        <w:tc>
          <w:tcPr>
            <w:tcW w:w="3628" w:type="dxa"/>
          </w:tcPr>
          <w:p>
            <w:pPr>
              <w:pStyle w:val="0"/>
            </w:pPr>
            <w:r>
              <w:rPr>
                <w:sz w:val="20"/>
              </w:rPr>
              <w:t xml:space="preserve">Уполномоченный по защите прав предпринимателей во Владимирской области и его аппарат</w:t>
            </w:r>
          </w:p>
        </w:tc>
        <w:tc>
          <w:tcPr>
            <w:tcW w:w="1587" w:type="dxa"/>
          </w:tcPr>
          <w:p>
            <w:pPr>
              <w:pStyle w:val="0"/>
              <w:jc w:val="center"/>
            </w:pPr>
            <w:r>
              <w:rPr>
                <w:sz w:val="20"/>
              </w:rPr>
              <w:t xml:space="preserve">5056,4</w:t>
            </w:r>
          </w:p>
        </w:tc>
        <w:tc>
          <w:tcPr>
            <w:tcW w:w="1587" w:type="dxa"/>
          </w:tcPr>
          <w:p>
            <w:pPr>
              <w:pStyle w:val="0"/>
              <w:jc w:val="center"/>
            </w:pPr>
            <w:r>
              <w:rPr>
                <w:sz w:val="20"/>
              </w:rPr>
              <w:t xml:space="preserve">5056,4</w:t>
            </w:r>
          </w:p>
        </w:tc>
        <w:tc>
          <w:tcPr>
            <w:tcW w:w="1587" w:type="dxa"/>
          </w:tcPr>
          <w:p>
            <w:pPr>
              <w:pStyle w:val="0"/>
              <w:jc w:val="center"/>
            </w:pPr>
            <w:r>
              <w:rPr>
                <w:sz w:val="20"/>
              </w:rPr>
              <w:t xml:space="preserve">5056,4</w:t>
            </w:r>
          </w:p>
        </w:tc>
      </w:tr>
      <w:tr>
        <w:tc>
          <w:tcPr>
            <w:tcW w:w="680" w:type="dxa"/>
          </w:tcPr>
          <w:p>
            <w:pPr>
              <w:pStyle w:val="0"/>
            </w:pPr>
            <w:r>
              <w:rPr>
                <w:sz w:val="20"/>
              </w:rPr>
            </w:r>
          </w:p>
        </w:tc>
        <w:tc>
          <w:tcPr>
            <w:tcW w:w="3628" w:type="dxa"/>
          </w:tcPr>
          <w:p>
            <w:pPr>
              <w:pStyle w:val="0"/>
            </w:pPr>
            <w:r>
              <w:rPr>
                <w:sz w:val="20"/>
              </w:rPr>
              <w:t xml:space="preserve">Инспекция государственного административно-технического надзора Владимирской области</w:t>
            </w:r>
          </w:p>
        </w:tc>
        <w:tc>
          <w:tcPr>
            <w:tcW w:w="1587" w:type="dxa"/>
          </w:tcPr>
          <w:p>
            <w:pPr>
              <w:pStyle w:val="0"/>
              <w:jc w:val="center"/>
            </w:pPr>
            <w:r>
              <w:rPr>
                <w:sz w:val="20"/>
              </w:rPr>
              <w:t xml:space="preserve">46457,6</w:t>
            </w:r>
          </w:p>
        </w:tc>
        <w:tc>
          <w:tcPr>
            <w:tcW w:w="1587" w:type="dxa"/>
          </w:tcPr>
          <w:p>
            <w:pPr>
              <w:pStyle w:val="0"/>
              <w:jc w:val="center"/>
            </w:pPr>
            <w:r>
              <w:rPr>
                <w:sz w:val="20"/>
              </w:rPr>
              <w:t xml:space="preserve">46457,6</w:t>
            </w:r>
          </w:p>
        </w:tc>
        <w:tc>
          <w:tcPr>
            <w:tcW w:w="1587" w:type="dxa"/>
          </w:tcPr>
          <w:p>
            <w:pPr>
              <w:pStyle w:val="0"/>
              <w:jc w:val="center"/>
            </w:pPr>
            <w:r>
              <w:rPr>
                <w:sz w:val="20"/>
              </w:rPr>
              <w:t xml:space="preserve">46457,6</w:t>
            </w:r>
          </w:p>
        </w:tc>
      </w:tr>
      <w:tr>
        <w:tc>
          <w:tcPr>
            <w:tcW w:w="680" w:type="dxa"/>
          </w:tcPr>
          <w:p>
            <w:pPr>
              <w:pStyle w:val="0"/>
              <w:jc w:val="center"/>
            </w:pPr>
            <w:r>
              <w:rPr>
                <w:sz w:val="20"/>
              </w:rPr>
              <w:t xml:space="preserve">2.</w:t>
            </w:r>
          </w:p>
        </w:tc>
        <w:tc>
          <w:tcPr>
            <w:tcW w:w="3628" w:type="dxa"/>
          </w:tcPr>
          <w:p>
            <w:pPr>
              <w:pStyle w:val="0"/>
            </w:pPr>
            <w:r>
              <w:rPr>
                <w:sz w:val="20"/>
              </w:rPr>
              <w:t xml:space="preserve">Реестр вновь принимаемых обязательств в соответствии с действующим законодательством</w:t>
            </w:r>
          </w:p>
        </w:tc>
        <w:tc>
          <w:tcPr>
            <w:tcW w:w="1587" w:type="dxa"/>
          </w:tcPr>
          <w:p>
            <w:pPr>
              <w:pStyle w:val="0"/>
              <w:jc w:val="center"/>
            </w:pPr>
            <w:r>
              <w:rPr>
                <w:sz w:val="20"/>
              </w:rPr>
              <w:t xml:space="preserve">7515539,7</w:t>
            </w:r>
          </w:p>
        </w:tc>
        <w:tc>
          <w:tcPr>
            <w:tcW w:w="1587" w:type="dxa"/>
          </w:tcPr>
          <w:p>
            <w:pPr>
              <w:pStyle w:val="0"/>
              <w:jc w:val="center"/>
            </w:pPr>
            <w:r>
              <w:rPr>
                <w:sz w:val="20"/>
              </w:rPr>
              <w:t xml:space="preserve">11093285,6</w:t>
            </w:r>
          </w:p>
        </w:tc>
        <w:tc>
          <w:tcPr>
            <w:tcW w:w="1587" w:type="dxa"/>
          </w:tcPr>
          <w:p>
            <w:pPr>
              <w:pStyle w:val="0"/>
              <w:jc w:val="center"/>
            </w:pPr>
            <w:r>
              <w:rPr>
                <w:sz w:val="20"/>
              </w:rPr>
              <w:t xml:space="preserve">11628467,5</w:t>
            </w:r>
          </w:p>
        </w:tc>
      </w:tr>
      <w:tr>
        <w:tc>
          <w:tcPr>
            <w:tcW w:w="680" w:type="dxa"/>
          </w:tcPr>
          <w:p>
            <w:pPr>
              <w:pStyle w:val="0"/>
            </w:pPr>
            <w:r>
              <w:rPr>
                <w:sz w:val="20"/>
              </w:rPr>
            </w:r>
          </w:p>
        </w:tc>
        <w:tc>
          <w:tcPr>
            <w:tcW w:w="3628" w:type="dxa"/>
          </w:tcPr>
          <w:p>
            <w:pPr>
              <w:pStyle w:val="0"/>
            </w:pPr>
            <w:r>
              <w:rPr>
                <w:sz w:val="20"/>
              </w:rPr>
              <w:t xml:space="preserve">в том числе:</w:t>
            </w:r>
          </w:p>
        </w:tc>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r>
      <w:tr>
        <w:tc>
          <w:tcPr>
            <w:tcW w:w="680" w:type="dxa"/>
          </w:tcPr>
          <w:p>
            <w:pPr>
              <w:pStyle w:val="0"/>
              <w:jc w:val="center"/>
            </w:pPr>
            <w:r>
              <w:rPr>
                <w:sz w:val="20"/>
              </w:rPr>
              <w:t xml:space="preserve">2.1.</w:t>
            </w:r>
          </w:p>
        </w:tc>
        <w:tc>
          <w:tcPr>
            <w:tcW w:w="3628" w:type="dxa"/>
          </w:tcPr>
          <w:p>
            <w:pPr>
              <w:pStyle w:val="0"/>
            </w:pPr>
            <w:r>
              <w:rPr>
                <w:sz w:val="20"/>
              </w:rPr>
              <w:t xml:space="preserve">Оплата труда работников бюджетной сферы</w:t>
            </w:r>
          </w:p>
        </w:tc>
        <w:tc>
          <w:tcPr>
            <w:tcW w:w="1587" w:type="dxa"/>
          </w:tcPr>
          <w:p>
            <w:pPr>
              <w:pStyle w:val="0"/>
              <w:jc w:val="center"/>
            </w:pPr>
            <w:r>
              <w:rPr>
                <w:sz w:val="20"/>
              </w:rPr>
              <w:t xml:space="preserve">2955560,1</w:t>
            </w:r>
          </w:p>
        </w:tc>
        <w:tc>
          <w:tcPr>
            <w:tcW w:w="1587" w:type="dxa"/>
          </w:tcPr>
          <w:p>
            <w:pPr>
              <w:pStyle w:val="0"/>
              <w:jc w:val="center"/>
            </w:pPr>
            <w:r>
              <w:rPr>
                <w:sz w:val="20"/>
              </w:rPr>
              <w:t xml:space="preserve">2955281,3</w:t>
            </w:r>
          </w:p>
        </w:tc>
        <w:tc>
          <w:tcPr>
            <w:tcW w:w="1587" w:type="dxa"/>
          </w:tcPr>
          <w:p>
            <w:pPr>
              <w:pStyle w:val="0"/>
              <w:jc w:val="center"/>
            </w:pPr>
            <w:r>
              <w:rPr>
                <w:sz w:val="20"/>
              </w:rPr>
              <w:t xml:space="preserve">2939357,4</w:t>
            </w:r>
          </w:p>
        </w:tc>
      </w:tr>
      <w:tr>
        <w:tc>
          <w:tcPr>
            <w:tcW w:w="680" w:type="dxa"/>
          </w:tcPr>
          <w:p>
            <w:pPr>
              <w:pStyle w:val="0"/>
            </w:pPr>
            <w:r>
              <w:rPr>
                <w:sz w:val="20"/>
              </w:rPr>
            </w:r>
          </w:p>
        </w:tc>
        <w:tc>
          <w:tcPr>
            <w:tcW w:w="3628" w:type="dxa"/>
          </w:tcPr>
          <w:p>
            <w:pPr>
              <w:pStyle w:val="0"/>
            </w:pPr>
            <w:r>
              <w:rPr>
                <w:sz w:val="20"/>
              </w:rPr>
              <w:t xml:space="preserve">Оплата труда работников бюджетной сферы в соответствии с указами Президента РФ 2012 года (рост среднемесячного дохода с 34,1 тыс. руб. до 36,8 тыс. руб.)</w:t>
            </w:r>
          </w:p>
        </w:tc>
        <w:tc>
          <w:tcPr>
            <w:tcW w:w="1587" w:type="dxa"/>
          </w:tcPr>
          <w:p>
            <w:pPr>
              <w:pStyle w:val="0"/>
              <w:jc w:val="center"/>
            </w:pPr>
            <w:r>
              <w:rPr>
                <w:sz w:val="20"/>
              </w:rPr>
              <w:t xml:space="preserve">1421135,8</w:t>
            </w:r>
          </w:p>
        </w:tc>
        <w:tc>
          <w:tcPr>
            <w:tcW w:w="1587" w:type="dxa"/>
          </w:tcPr>
          <w:p>
            <w:pPr>
              <w:pStyle w:val="0"/>
              <w:jc w:val="center"/>
            </w:pPr>
            <w:r>
              <w:rPr>
                <w:sz w:val="20"/>
              </w:rPr>
              <w:t xml:space="preserve">1421135,8</w:t>
            </w:r>
          </w:p>
        </w:tc>
        <w:tc>
          <w:tcPr>
            <w:tcW w:w="1587" w:type="dxa"/>
          </w:tcPr>
          <w:p>
            <w:pPr>
              <w:pStyle w:val="0"/>
              <w:jc w:val="center"/>
            </w:pPr>
            <w:r>
              <w:rPr>
                <w:sz w:val="20"/>
              </w:rPr>
              <w:t xml:space="preserve">1421135,8</w:t>
            </w:r>
          </w:p>
        </w:tc>
      </w:tr>
      <w:tr>
        <w:tc>
          <w:tcPr>
            <w:tcW w:w="680" w:type="dxa"/>
          </w:tcPr>
          <w:p>
            <w:pPr>
              <w:pStyle w:val="0"/>
            </w:pPr>
            <w:r>
              <w:rPr>
                <w:sz w:val="20"/>
              </w:rPr>
            </w:r>
          </w:p>
        </w:tc>
        <w:tc>
          <w:tcPr>
            <w:tcW w:w="3628" w:type="dxa"/>
          </w:tcPr>
          <w:p>
            <w:pPr>
              <w:pStyle w:val="0"/>
            </w:pPr>
            <w:r>
              <w:rPr>
                <w:sz w:val="20"/>
              </w:rPr>
              <w:t xml:space="preserve">Оплата труда остальных категорий работников бюджетной сферы исходя из установленного Правительством РФ уровня инфляции</w:t>
            </w:r>
          </w:p>
        </w:tc>
        <w:tc>
          <w:tcPr>
            <w:tcW w:w="1587" w:type="dxa"/>
          </w:tcPr>
          <w:p>
            <w:pPr>
              <w:pStyle w:val="0"/>
              <w:jc w:val="center"/>
            </w:pPr>
            <w:r>
              <w:rPr>
                <w:sz w:val="20"/>
              </w:rPr>
              <w:t xml:space="preserve">840911,2</w:t>
            </w:r>
          </w:p>
        </w:tc>
        <w:tc>
          <w:tcPr>
            <w:tcW w:w="1587" w:type="dxa"/>
          </w:tcPr>
          <w:p>
            <w:pPr>
              <w:pStyle w:val="0"/>
              <w:jc w:val="center"/>
            </w:pPr>
            <w:r>
              <w:rPr>
                <w:sz w:val="20"/>
              </w:rPr>
              <w:t xml:space="preserve">840911,2</w:t>
            </w:r>
          </w:p>
        </w:tc>
        <w:tc>
          <w:tcPr>
            <w:tcW w:w="1587" w:type="dxa"/>
          </w:tcPr>
          <w:p>
            <w:pPr>
              <w:pStyle w:val="0"/>
              <w:jc w:val="center"/>
            </w:pPr>
            <w:r>
              <w:rPr>
                <w:sz w:val="20"/>
              </w:rPr>
              <w:t xml:space="preserve">840911,2</w:t>
            </w:r>
          </w:p>
        </w:tc>
      </w:tr>
      <w:tr>
        <w:tc>
          <w:tcPr>
            <w:tcW w:w="680" w:type="dxa"/>
          </w:tcPr>
          <w:p>
            <w:pPr>
              <w:pStyle w:val="0"/>
            </w:pPr>
            <w:r>
              <w:rPr>
                <w:sz w:val="20"/>
              </w:rPr>
            </w:r>
          </w:p>
        </w:tc>
        <w:tc>
          <w:tcPr>
            <w:tcW w:w="3628" w:type="dxa"/>
          </w:tcPr>
          <w:p>
            <w:pPr>
              <w:pStyle w:val="0"/>
            </w:pPr>
            <w:r>
              <w:rPr>
                <w:sz w:val="20"/>
              </w:rPr>
              <w:t xml:space="preserve">Оплата труда государственных служащих исходя из </w:t>
            </w:r>
            <w:hyperlink w:history="0" r:id="rId82" w:tooltip="Закон Владимирской области от 15.03.2022 N 11-ОЗ &quot;О внесении изменений в Закон Владимирской области &quot;О государственной гражданской службе Владимирской области&quot; и Закон Владимирской области &quot;О денежном содержании государственных гражданских служащих Владимирской области, денежном вознаграждении и денежном поощрении лиц, замещающих государственные должности Владимирской области&quot; (принят постановлением ЗС Владимирской области от 09.03.2022 N 38) {КонсультантПлюс}">
              <w:r>
                <w:rPr>
                  <w:sz w:val="20"/>
                  <w:color w:val="0000ff"/>
                </w:rPr>
                <w:t xml:space="preserve">Закона</w:t>
              </w:r>
            </w:hyperlink>
            <w:r>
              <w:rPr>
                <w:sz w:val="20"/>
              </w:rPr>
              <w:t xml:space="preserve"> области от 15.03.2022 N 11-ОЗ</w:t>
            </w:r>
          </w:p>
        </w:tc>
        <w:tc>
          <w:tcPr>
            <w:tcW w:w="1587" w:type="dxa"/>
          </w:tcPr>
          <w:p>
            <w:pPr>
              <w:pStyle w:val="0"/>
              <w:jc w:val="center"/>
            </w:pPr>
            <w:r>
              <w:rPr>
                <w:sz w:val="20"/>
              </w:rPr>
              <w:t xml:space="preserve">655922,5</w:t>
            </w:r>
          </w:p>
        </w:tc>
        <w:tc>
          <w:tcPr>
            <w:tcW w:w="1587" w:type="dxa"/>
          </w:tcPr>
          <w:p>
            <w:pPr>
              <w:pStyle w:val="0"/>
              <w:jc w:val="center"/>
            </w:pPr>
            <w:r>
              <w:rPr>
                <w:sz w:val="20"/>
              </w:rPr>
              <w:t xml:space="preserve">655643,7</w:t>
            </w:r>
          </w:p>
        </w:tc>
        <w:tc>
          <w:tcPr>
            <w:tcW w:w="1587" w:type="dxa"/>
          </w:tcPr>
          <w:p>
            <w:pPr>
              <w:pStyle w:val="0"/>
              <w:jc w:val="center"/>
            </w:pPr>
            <w:r>
              <w:rPr>
                <w:sz w:val="20"/>
              </w:rPr>
              <w:t xml:space="preserve">639719,8</w:t>
            </w:r>
          </w:p>
        </w:tc>
      </w:tr>
      <w:tr>
        <w:tc>
          <w:tcPr>
            <w:tcW w:w="680" w:type="dxa"/>
          </w:tcPr>
          <w:p>
            <w:pPr>
              <w:pStyle w:val="0"/>
            </w:pPr>
            <w:r>
              <w:rPr>
                <w:sz w:val="20"/>
              </w:rPr>
            </w:r>
          </w:p>
        </w:tc>
        <w:tc>
          <w:tcPr>
            <w:tcW w:w="3628" w:type="dxa"/>
          </w:tcPr>
          <w:p>
            <w:pPr>
              <w:pStyle w:val="0"/>
            </w:pPr>
            <w:r>
              <w:rPr>
                <w:sz w:val="20"/>
              </w:rPr>
              <w:t xml:space="preserve">Субвенции местным бюджетам на исполнение государственных полномочий области в части оплаты труда муниципальных служащих в соответствии с </w:t>
            </w:r>
            <w:hyperlink w:history="0" r:id="rId83" w:tooltip="Закон Владимирской области от 30.06.2022 N 44-ОЗ &quot;О внесении изменений в статью 4 Закона Владимирской области &quot;Об оплате труда муниципальных служащих во Владимирской области&quot; и в приложение к Закону Владимирской области &quot;О порядке присвоения и сохранения классных чинов муниципальных служащих во Владимирской области муниципальным служащим&quot; (принят постановлением ЗС Владимирской области от 30.06.2022 N 177) {КонсультантПлюс}">
              <w:r>
                <w:rPr>
                  <w:sz w:val="20"/>
                  <w:color w:val="0000ff"/>
                </w:rPr>
                <w:t xml:space="preserve">Законом</w:t>
              </w:r>
            </w:hyperlink>
            <w:r>
              <w:rPr>
                <w:sz w:val="20"/>
              </w:rPr>
              <w:t xml:space="preserve"> области от 30.06.2022 N 44-ОЗ</w:t>
            </w:r>
          </w:p>
        </w:tc>
        <w:tc>
          <w:tcPr>
            <w:tcW w:w="1587" w:type="dxa"/>
          </w:tcPr>
          <w:p>
            <w:pPr>
              <w:pStyle w:val="0"/>
              <w:jc w:val="center"/>
            </w:pPr>
            <w:r>
              <w:rPr>
                <w:sz w:val="20"/>
              </w:rPr>
              <w:t xml:space="preserve">37590,6</w:t>
            </w:r>
          </w:p>
        </w:tc>
        <w:tc>
          <w:tcPr>
            <w:tcW w:w="1587" w:type="dxa"/>
          </w:tcPr>
          <w:p>
            <w:pPr>
              <w:pStyle w:val="0"/>
              <w:jc w:val="center"/>
            </w:pPr>
            <w:r>
              <w:rPr>
                <w:sz w:val="20"/>
              </w:rPr>
              <w:t xml:space="preserve">37590,6</w:t>
            </w:r>
          </w:p>
        </w:tc>
        <w:tc>
          <w:tcPr>
            <w:tcW w:w="1587" w:type="dxa"/>
          </w:tcPr>
          <w:p>
            <w:pPr>
              <w:pStyle w:val="0"/>
              <w:jc w:val="center"/>
            </w:pPr>
            <w:r>
              <w:rPr>
                <w:sz w:val="20"/>
              </w:rPr>
              <w:t xml:space="preserve">37590,6</w:t>
            </w:r>
          </w:p>
        </w:tc>
      </w:tr>
      <w:tr>
        <w:tc>
          <w:tcPr>
            <w:tcW w:w="680" w:type="dxa"/>
          </w:tcPr>
          <w:p>
            <w:pPr>
              <w:pStyle w:val="0"/>
              <w:jc w:val="center"/>
            </w:pPr>
            <w:r>
              <w:rPr>
                <w:sz w:val="20"/>
              </w:rPr>
              <w:t xml:space="preserve">2.2.</w:t>
            </w:r>
          </w:p>
        </w:tc>
        <w:tc>
          <w:tcPr>
            <w:tcW w:w="3628" w:type="dxa"/>
          </w:tcPr>
          <w:p>
            <w:pPr>
              <w:pStyle w:val="0"/>
            </w:pPr>
            <w:r>
              <w:rPr>
                <w:sz w:val="20"/>
              </w:rPr>
              <w:t xml:space="preserve">Расходы по социальным обязательствам, установленным федеральным и областным законодательством</w:t>
            </w:r>
          </w:p>
        </w:tc>
        <w:tc>
          <w:tcPr>
            <w:tcW w:w="1587" w:type="dxa"/>
          </w:tcPr>
          <w:p>
            <w:pPr>
              <w:pStyle w:val="0"/>
              <w:jc w:val="center"/>
            </w:pPr>
            <w:r>
              <w:rPr>
                <w:sz w:val="20"/>
              </w:rPr>
              <w:t xml:space="preserve">2130826,1</w:t>
            </w:r>
          </w:p>
        </w:tc>
        <w:tc>
          <w:tcPr>
            <w:tcW w:w="1587" w:type="dxa"/>
          </w:tcPr>
          <w:p>
            <w:pPr>
              <w:pStyle w:val="0"/>
              <w:jc w:val="center"/>
            </w:pPr>
            <w:r>
              <w:rPr>
                <w:sz w:val="20"/>
              </w:rPr>
              <w:t xml:space="preserve">2117855,4</w:t>
            </w:r>
          </w:p>
        </w:tc>
        <w:tc>
          <w:tcPr>
            <w:tcW w:w="1587" w:type="dxa"/>
          </w:tcPr>
          <w:p>
            <w:pPr>
              <w:pStyle w:val="0"/>
              <w:jc w:val="center"/>
            </w:pPr>
            <w:r>
              <w:rPr>
                <w:sz w:val="20"/>
              </w:rPr>
              <w:t xml:space="preserve">2104812,6</w:t>
            </w:r>
          </w:p>
        </w:tc>
      </w:tr>
      <w:tr>
        <w:tc>
          <w:tcPr>
            <w:tcW w:w="680" w:type="dxa"/>
          </w:tcPr>
          <w:p>
            <w:pPr>
              <w:pStyle w:val="0"/>
            </w:pPr>
            <w:r>
              <w:rPr>
                <w:sz w:val="20"/>
              </w:rPr>
            </w:r>
          </w:p>
        </w:tc>
        <w:tc>
          <w:tcPr>
            <w:tcW w:w="3628" w:type="dxa"/>
          </w:tcPr>
          <w:p>
            <w:pPr>
              <w:pStyle w:val="0"/>
            </w:pPr>
            <w:r>
              <w:rPr>
                <w:sz w:val="20"/>
              </w:rPr>
              <w:t xml:space="preserve">в том числе:</w:t>
            </w:r>
          </w:p>
        </w:tc>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r>
      <w:tr>
        <w:tc>
          <w:tcPr>
            <w:tcW w:w="680" w:type="dxa"/>
          </w:tcPr>
          <w:p>
            <w:pPr>
              <w:pStyle w:val="0"/>
            </w:pPr>
            <w:r>
              <w:rPr>
                <w:sz w:val="20"/>
              </w:rPr>
            </w:r>
          </w:p>
        </w:tc>
        <w:tc>
          <w:tcPr>
            <w:tcW w:w="3628" w:type="dxa"/>
          </w:tcPr>
          <w:p>
            <w:pPr>
              <w:pStyle w:val="0"/>
            </w:pPr>
            <w:r>
              <w:rPr>
                <w:sz w:val="20"/>
              </w:rPr>
              <w:t xml:space="preserve">Увеличение расходов на социальные обязательства исходя из установленного Правительством РФ уровня инфляции</w:t>
            </w:r>
          </w:p>
        </w:tc>
        <w:tc>
          <w:tcPr>
            <w:tcW w:w="1587" w:type="dxa"/>
          </w:tcPr>
          <w:p>
            <w:pPr>
              <w:pStyle w:val="0"/>
              <w:jc w:val="center"/>
            </w:pPr>
            <w:r>
              <w:rPr>
                <w:sz w:val="20"/>
              </w:rPr>
              <w:t xml:space="preserve">816185,1</w:t>
            </w:r>
          </w:p>
        </w:tc>
        <w:tc>
          <w:tcPr>
            <w:tcW w:w="1587" w:type="dxa"/>
          </w:tcPr>
          <w:p>
            <w:pPr>
              <w:pStyle w:val="0"/>
              <w:jc w:val="center"/>
            </w:pPr>
            <w:r>
              <w:rPr>
                <w:sz w:val="20"/>
              </w:rPr>
              <w:t xml:space="preserve">816247,0</w:t>
            </w:r>
          </w:p>
        </w:tc>
        <w:tc>
          <w:tcPr>
            <w:tcW w:w="1587" w:type="dxa"/>
          </w:tcPr>
          <w:p>
            <w:pPr>
              <w:pStyle w:val="0"/>
              <w:jc w:val="center"/>
            </w:pPr>
            <w:r>
              <w:rPr>
                <w:sz w:val="20"/>
              </w:rPr>
              <w:t xml:space="preserve">816247,0</w:t>
            </w:r>
          </w:p>
        </w:tc>
      </w:tr>
      <w:tr>
        <w:tc>
          <w:tcPr>
            <w:tcW w:w="680" w:type="dxa"/>
          </w:tcPr>
          <w:p>
            <w:pPr>
              <w:pStyle w:val="0"/>
            </w:pPr>
            <w:r>
              <w:rPr>
                <w:sz w:val="20"/>
              </w:rPr>
            </w:r>
          </w:p>
        </w:tc>
        <w:tc>
          <w:tcPr>
            <w:tcW w:w="3628" w:type="dxa"/>
          </w:tcPr>
          <w:p>
            <w:pPr>
              <w:pStyle w:val="0"/>
            </w:pPr>
            <w:r>
              <w:rPr>
                <w:sz w:val="20"/>
              </w:rPr>
              <w:t xml:space="preserve">Увеличение расходов на приобретение лекарственных препаратов для отдельных категорий граждан (общий объем бюджетных ассигнований составит 2698975,2 тыс. рублей ежегодно)</w:t>
            </w:r>
          </w:p>
        </w:tc>
        <w:tc>
          <w:tcPr>
            <w:tcW w:w="1587" w:type="dxa"/>
          </w:tcPr>
          <w:p>
            <w:pPr>
              <w:pStyle w:val="0"/>
              <w:jc w:val="center"/>
            </w:pPr>
            <w:r>
              <w:rPr>
                <w:sz w:val="20"/>
              </w:rPr>
              <w:t xml:space="preserve">364702,8</w:t>
            </w:r>
          </w:p>
        </w:tc>
        <w:tc>
          <w:tcPr>
            <w:tcW w:w="1587" w:type="dxa"/>
          </w:tcPr>
          <w:p>
            <w:pPr>
              <w:pStyle w:val="0"/>
              <w:jc w:val="center"/>
            </w:pPr>
            <w:r>
              <w:rPr>
                <w:sz w:val="20"/>
              </w:rPr>
              <w:t xml:space="preserve">364702,8</w:t>
            </w:r>
          </w:p>
        </w:tc>
        <w:tc>
          <w:tcPr>
            <w:tcW w:w="1587" w:type="dxa"/>
          </w:tcPr>
          <w:p>
            <w:pPr>
              <w:pStyle w:val="0"/>
              <w:jc w:val="center"/>
            </w:pPr>
            <w:r>
              <w:rPr>
                <w:sz w:val="20"/>
              </w:rPr>
              <w:t xml:space="preserve">364702,8</w:t>
            </w:r>
          </w:p>
        </w:tc>
      </w:tr>
      <w:tr>
        <w:tc>
          <w:tcPr>
            <w:tcW w:w="680" w:type="dxa"/>
          </w:tcPr>
          <w:p>
            <w:pPr>
              <w:pStyle w:val="0"/>
            </w:pPr>
            <w:r>
              <w:rPr>
                <w:sz w:val="20"/>
              </w:rPr>
            </w:r>
          </w:p>
        </w:tc>
        <w:tc>
          <w:tcPr>
            <w:tcW w:w="3628" w:type="dxa"/>
          </w:tcPr>
          <w:p>
            <w:pPr>
              <w:pStyle w:val="0"/>
            </w:pPr>
            <w:r>
              <w:rPr>
                <w:sz w:val="20"/>
              </w:rPr>
              <w:t xml:space="preserve">Увеличение расходов на приобретение жилья для детей-сирот (общий объем бюджетных ассигнований в 2023 году составит 432830,5 тыс. рублей, в 2024 - 2025 годах - 432838,0 тыс. рублей ежегодно)</w:t>
            </w:r>
          </w:p>
        </w:tc>
        <w:tc>
          <w:tcPr>
            <w:tcW w:w="1587" w:type="dxa"/>
          </w:tcPr>
          <w:p>
            <w:pPr>
              <w:pStyle w:val="0"/>
              <w:jc w:val="center"/>
            </w:pPr>
            <w:r>
              <w:rPr>
                <w:sz w:val="20"/>
              </w:rPr>
              <w:t xml:space="preserve">125533,2</w:t>
            </w:r>
          </w:p>
        </w:tc>
        <w:tc>
          <w:tcPr>
            <w:tcW w:w="1587" w:type="dxa"/>
          </w:tcPr>
          <w:p>
            <w:pPr>
              <w:pStyle w:val="0"/>
              <w:jc w:val="center"/>
            </w:pPr>
            <w:r>
              <w:rPr>
                <w:sz w:val="20"/>
              </w:rPr>
              <w:t xml:space="preserve">125533,2</w:t>
            </w:r>
          </w:p>
        </w:tc>
        <w:tc>
          <w:tcPr>
            <w:tcW w:w="1587" w:type="dxa"/>
          </w:tcPr>
          <w:p>
            <w:pPr>
              <w:pStyle w:val="0"/>
              <w:jc w:val="center"/>
            </w:pPr>
            <w:r>
              <w:rPr>
                <w:sz w:val="20"/>
              </w:rPr>
              <w:t xml:space="preserve">125533,2</w:t>
            </w:r>
          </w:p>
        </w:tc>
      </w:tr>
      <w:tr>
        <w:tc>
          <w:tcPr>
            <w:tcW w:w="680" w:type="dxa"/>
          </w:tcPr>
          <w:p>
            <w:pPr>
              <w:pStyle w:val="0"/>
            </w:pPr>
            <w:r>
              <w:rPr>
                <w:sz w:val="20"/>
              </w:rPr>
            </w:r>
          </w:p>
        </w:tc>
        <w:tc>
          <w:tcPr>
            <w:tcW w:w="3628" w:type="dxa"/>
          </w:tcPr>
          <w:p>
            <w:pPr>
              <w:pStyle w:val="0"/>
            </w:pPr>
            <w:r>
              <w:rPr>
                <w:sz w:val="20"/>
              </w:rPr>
              <w:t xml:space="preserve">Увеличение расходов на региональные единовременные компенсационные выплаты медицинским работникам (врачам и фельдшерам скорой медицинской помощи) (общий объем бюджетных ассигнований составит 149200 тыс. рублей ежегодно)</w:t>
            </w:r>
          </w:p>
        </w:tc>
        <w:tc>
          <w:tcPr>
            <w:tcW w:w="1587" w:type="dxa"/>
          </w:tcPr>
          <w:p>
            <w:pPr>
              <w:pStyle w:val="0"/>
              <w:jc w:val="center"/>
            </w:pPr>
            <w:r>
              <w:rPr>
                <w:sz w:val="20"/>
              </w:rPr>
              <w:t xml:space="preserve">49000,0</w:t>
            </w:r>
          </w:p>
        </w:tc>
        <w:tc>
          <w:tcPr>
            <w:tcW w:w="1587" w:type="dxa"/>
          </w:tcPr>
          <w:p>
            <w:pPr>
              <w:pStyle w:val="0"/>
              <w:jc w:val="center"/>
            </w:pPr>
            <w:r>
              <w:rPr>
                <w:sz w:val="20"/>
              </w:rPr>
              <w:t xml:space="preserve">49000,0</w:t>
            </w:r>
          </w:p>
        </w:tc>
        <w:tc>
          <w:tcPr>
            <w:tcW w:w="1587" w:type="dxa"/>
          </w:tcPr>
          <w:p>
            <w:pPr>
              <w:pStyle w:val="0"/>
              <w:jc w:val="center"/>
            </w:pPr>
            <w:r>
              <w:rPr>
                <w:sz w:val="20"/>
              </w:rPr>
              <w:t xml:space="preserve">49000,0</w:t>
            </w:r>
          </w:p>
        </w:tc>
      </w:tr>
      <w:tr>
        <w:tc>
          <w:tcPr>
            <w:tcW w:w="680" w:type="dxa"/>
          </w:tcPr>
          <w:p>
            <w:pPr>
              <w:pStyle w:val="0"/>
            </w:pPr>
            <w:r>
              <w:rPr>
                <w:sz w:val="20"/>
              </w:rPr>
            </w:r>
          </w:p>
        </w:tc>
        <w:tc>
          <w:tcPr>
            <w:tcW w:w="3628" w:type="dxa"/>
          </w:tcPr>
          <w:p>
            <w:pPr>
              <w:pStyle w:val="0"/>
            </w:pPr>
            <w:r>
              <w:rPr>
                <w:sz w:val="20"/>
              </w:rPr>
              <w:t xml:space="preserve">Увеличение расходов на социальную поддержку при ипотечном жилищном кредитовании медицинским работникам в форме субсидии на уплату первоначального взноса по ипотечному жилищному кредиту (общий объем бюджетных ассигнований составит 50000 тыс. рублей ежегодно)</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r>
      <w:tr>
        <w:tc>
          <w:tcPr>
            <w:tcW w:w="680" w:type="dxa"/>
          </w:tcPr>
          <w:p>
            <w:pPr>
              <w:pStyle w:val="0"/>
            </w:pPr>
            <w:r>
              <w:rPr>
                <w:sz w:val="20"/>
              </w:rPr>
            </w:r>
          </w:p>
        </w:tc>
        <w:tc>
          <w:tcPr>
            <w:tcW w:w="3628" w:type="dxa"/>
          </w:tcPr>
          <w:p>
            <w:pPr>
              <w:pStyle w:val="0"/>
            </w:pPr>
            <w:r>
              <w:rPr>
                <w:sz w:val="20"/>
              </w:rPr>
              <w:t xml:space="preserve">Осуществление ежемесячной денежной выплаты на ребенка в возрасте от восьми до семнадцати лет (мера социальной поддержки, установленная с 1 апреля 2022 года </w:t>
            </w:r>
            <w:hyperlink w:history="0" r:id="rId84" w:tooltip="Указ Президента РФ от 31.03.2022 N 175 &quot;О ежемесячной денежной выплате семьям, имеющим детей&quot; {КонсультантПлюс}">
              <w:r>
                <w:rPr>
                  <w:sz w:val="20"/>
                  <w:color w:val="0000ff"/>
                </w:rPr>
                <w:t xml:space="preserve">Указом</w:t>
              </w:r>
            </w:hyperlink>
            <w:r>
              <w:rPr>
                <w:sz w:val="20"/>
              </w:rPr>
              <w:t xml:space="preserve"> Президента РФ от 31.03.2022 N 175)</w:t>
            </w:r>
          </w:p>
        </w:tc>
        <w:tc>
          <w:tcPr>
            <w:tcW w:w="1587" w:type="dxa"/>
          </w:tcPr>
          <w:p>
            <w:pPr>
              <w:pStyle w:val="0"/>
              <w:jc w:val="center"/>
            </w:pPr>
            <w:r>
              <w:rPr>
                <w:sz w:val="20"/>
              </w:rPr>
              <w:t xml:space="preserve">536549,4</w:t>
            </w:r>
          </w:p>
        </w:tc>
        <w:tc>
          <w:tcPr>
            <w:tcW w:w="1587" w:type="dxa"/>
          </w:tcPr>
          <w:p>
            <w:pPr>
              <w:pStyle w:val="0"/>
              <w:jc w:val="center"/>
            </w:pPr>
            <w:r>
              <w:rPr>
                <w:sz w:val="20"/>
              </w:rPr>
              <w:t xml:space="preserve">536549,4</w:t>
            </w:r>
          </w:p>
        </w:tc>
        <w:tc>
          <w:tcPr>
            <w:tcW w:w="1587" w:type="dxa"/>
          </w:tcPr>
          <w:p>
            <w:pPr>
              <w:pStyle w:val="0"/>
              <w:jc w:val="center"/>
            </w:pPr>
            <w:r>
              <w:rPr>
                <w:sz w:val="20"/>
              </w:rPr>
              <w:t xml:space="preserve">536549,4</w:t>
            </w:r>
          </w:p>
        </w:tc>
      </w:tr>
      <w:tr>
        <w:tc>
          <w:tcPr>
            <w:tcW w:w="680" w:type="dxa"/>
          </w:tcPr>
          <w:p>
            <w:pPr>
              <w:pStyle w:val="0"/>
            </w:pPr>
            <w:r>
              <w:rPr>
                <w:sz w:val="20"/>
              </w:rPr>
            </w:r>
          </w:p>
        </w:tc>
        <w:tc>
          <w:tcPr>
            <w:tcW w:w="3628" w:type="dxa"/>
          </w:tcPr>
          <w:p>
            <w:pPr>
              <w:pStyle w:val="0"/>
            </w:pPr>
            <w:r>
              <w:rPr>
                <w:sz w:val="20"/>
              </w:rPr>
              <w:t xml:space="preserve">Расширение категории "многодетная семья" в части совершеннолетних детей, обучающихся по очной форме обучения в образовательных организациях до достижения указанными лицами возраста 23 лет (</w:t>
            </w:r>
            <w:hyperlink w:history="0" r:id="rId85" w:tooltip="Закон Владимирской области от 30.05.2022 N 31-ОЗ &quot;О внесении изменений в Закон Владимирской области &quot;О социальной поддержке и социальном обслуживании отдельных категорий граждан во Владимирской области&quot; (принят постановлением ЗС Владимирской области от 26.05.2022 N 122) {КонсультантПлюс}">
              <w:r>
                <w:rPr>
                  <w:sz w:val="20"/>
                  <w:color w:val="0000ff"/>
                </w:rPr>
                <w:t xml:space="preserve">Закон</w:t>
              </w:r>
            </w:hyperlink>
            <w:r>
              <w:rPr>
                <w:sz w:val="20"/>
              </w:rPr>
              <w:t xml:space="preserve"> области от 30.05.2022 N 31-ОЗ вступает в силу с 1 января 2023 года), общий объем бюджетных ассигнований составит в 2023 году 582820,2 тыс. рублей, в 2024 - 2025 годах - 598694,2 тыс. рублей ежегодно</w:t>
            </w:r>
          </w:p>
        </w:tc>
        <w:tc>
          <w:tcPr>
            <w:tcW w:w="1587" w:type="dxa"/>
          </w:tcPr>
          <w:p>
            <w:pPr>
              <w:pStyle w:val="0"/>
              <w:jc w:val="center"/>
            </w:pPr>
            <w:r>
              <w:rPr>
                <w:sz w:val="20"/>
              </w:rPr>
              <w:t xml:space="preserve">78100,0</w:t>
            </w:r>
          </w:p>
        </w:tc>
        <w:tc>
          <w:tcPr>
            <w:tcW w:w="1587" w:type="dxa"/>
          </w:tcPr>
          <w:p>
            <w:pPr>
              <w:pStyle w:val="0"/>
              <w:jc w:val="center"/>
            </w:pPr>
            <w:r>
              <w:rPr>
                <w:sz w:val="20"/>
              </w:rPr>
              <w:t xml:space="preserve">78100,0</w:t>
            </w:r>
          </w:p>
        </w:tc>
        <w:tc>
          <w:tcPr>
            <w:tcW w:w="1587" w:type="dxa"/>
          </w:tcPr>
          <w:p>
            <w:pPr>
              <w:pStyle w:val="0"/>
              <w:jc w:val="center"/>
            </w:pPr>
            <w:r>
              <w:rPr>
                <w:sz w:val="20"/>
              </w:rPr>
              <w:t xml:space="preserve">78100,0</w:t>
            </w:r>
          </w:p>
        </w:tc>
      </w:tr>
      <w:tr>
        <w:tc>
          <w:tcPr>
            <w:tcW w:w="680" w:type="dxa"/>
          </w:tcPr>
          <w:p>
            <w:pPr>
              <w:pStyle w:val="0"/>
            </w:pPr>
            <w:r>
              <w:rPr>
                <w:sz w:val="20"/>
              </w:rPr>
            </w:r>
          </w:p>
        </w:tc>
        <w:tc>
          <w:tcPr>
            <w:tcW w:w="3628" w:type="dxa"/>
          </w:tcPr>
          <w:p>
            <w:pPr>
              <w:pStyle w:val="0"/>
            </w:pPr>
            <w:r>
              <w:rPr>
                <w:sz w:val="20"/>
              </w:rPr>
              <w:t xml:space="preserve">Осуществление единовременной денежной выплаты отдельным категориям граждан ко Дню Победы в Великой Отечественной войне 1941 - 1945 годов</w:t>
            </w:r>
          </w:p>
        </w:tc>
        <w:tc>
          <w:tcPr>
            <w:tcW w:w="1587" w:type="dxa"/>
          </w:tcPr>
          <w:p>
            <w:pPr>
              <w:pStyle w:val="0"/>
              <w:jc w:val="center"/>
            </w:pPr>
            <w:r>
              <w:rPr>
                <w:sz w:val="20"/>
              </w:rPr>
              <w:t xml:space="preserve">43452,2</w:t>
            </w:r>
          </w:p>
        </w:tc>
        <w:tc>
          <w:tcPr>
            <w:tcW w:w="1587" w:type="dxa"/>
          </w:tcPr>
          <w:p>
            <w:pPr>
              <w:pStyle w:val="0"/>
              <w:jc w:val="center"/>
            </w:pPr>
            <w:r>
              <w:rPr>
                <w:sz w:val="20"/>
              </w:rPr>
              <w:t xml:space="preserve">30419,6</w:t>
            </w:r>
          </w:p>
        </w:tc>
        <w:tc>
          <w:tcPr>
            <w:tcW w:w="1587" w:type="dxa"/>
          </w:tcPr>
          <w:p>
            <w:pPr>
              <w:pStyle w:val="0"/>
              <w:jc w:val="center"/>
            </w:pPr>
            <w:r>
              <w:rPr>
                <w:sz w:val="20"/>
              </w:rPr>
              <w:t xml:space="preserve">17376,8</w:t>
            </w:r>
          </w:p>
        </w:tc>
      </w:tr>
      <w:tr>
        <w:tc>
          <w:tcPr>
            <w:tcW w:w="680" w:type="dxa"/>
          </w:tcPr>
          <w:p>
            <w:pPr>
              <w:pStyle w:val="0"/>
            </w:pPr>
            <w:r>
              <w:rPr>
                <w:sz w:val="20"/>
              </w:rPr>
            </w:r>
          </w:p>
        </w:tc>
        <w:tc>
          <w:tcPr>
            <w:tcW w:w="3628" w:type="dxa"/>
          </w:tcPr>
          <w:p>
            <w:pPr>
              <w:pStyle w:val="0"/>
            </w:pPr>
            <w:r>
              <w:rPr>
                <w:sz w:val="20"/>
              </w:rPr>
              <w:t xml:space="preserve">Увеличение расходов на ежемесячные выплаты на содержание ребенка в семье опекуна и приемной семье (доведение до размера прожиточного минимума на детей во Владимирской области), общий объем бюджетных ассигнований составит 686215,9 тыс. рублей ежегодно</w:t>
            </w:r>
          </w:p>
        </w:tc>
        <w:tc>
          <w:tcPr>
            <w:tcW w:w="1587" w:type="dxa"/>
          </w:tcPr>
          <w:p>
            <w:pPr>
              <w:pStyle w:val="0"/>
              <w:jc w:val="center"/>
            </w:pPr>
            <w:r>
              <w:rPr>
                <w:sz w:val="20"/>
              </w:rPr>
              <w:t xml:space="preserve">83169,5</w:t>
            </w:r>
          </w:p>
        </w:tc>
        <w:tc>
          <w:tcPr>
            <w:tcW w:w="1587" w:type="dxa"/>
          </w:tcPr>
          <w:p>
            <w:pPr>
              <w:pStyle w:val="0"/>
              <w:jc w:val="center"/>
            </w:pPr>
            <w:r>
              <w:rPr>
                <w:sz w:val="20"/>
              </w:rPr>
              <w:t xml:space="preserve">83169,5</w:t>
            </w:r>
          </w:p>
        </w:tc>
        <w:tc>
          <w:tcPr>
            <w:tcW w:w="1587" w:type="dxa"/>
          </w:tcPr>
          <w:p>
            <w:pPr>
              <w:pStyle w:val="0"/>
              <w:jc w:val="center"/>
            </w:pPr>
            <w:r>
              <w:rPr>
                <w:sz w:val="20"/>
              </w:rPr>
              <w:t xml:space="preserve">83169,5</w:t>
            </w:r>
          </w:p>
        </w:tc>
      </w:tr>
      <w:tr>
        <w:tc>
          <w:tcPr>
            <w:tcW w:w="680" w:type="dxa"/>
          </w:tcPr>
          <w:p>
            <w:pPr>
              <w:pStyle w:val="0"/>
            </w:pPr>
            <w:r>
              <w:rPr>
                <w:sz w:val="20"/>
              </w:rPr>
            </w:r>
          </w:p>
        </w:tc>
        <w:tc>
          <w:tcPr>
            <w:tcW w:w="3628" w:type="dxa"/>
          </w:tcPr>
          <w:p>
            <w:pPr>
              <w:pStyle w:val="0"/>
            </w:pPr>
            <w:r>
              <w:rPr>
                <w:sz w:val="20"/>
              </w:rPr>
              <w:t xml:space="preserve">Предоставление выплат гражданам в целях соблюдения предельных (максимальных) индексов размера платы за коммунальные услуги (</w:t>
            </w:r>
            <w:hyperlink w:history="0" r:id="rId86" w:tooltip="Постановление администрации Владимирской обл. от 08.11.2019 N 785 (ред. от 28.11.2022) &quot;О дополнительных мерах социальной поддержки граждан в целях соблюдения предельных (максимальных) индексов изменения размера вносимой гражданами платы за коммунальные услуги во Владимирской области в 2022 - 2023 годах&quot; (вместе с &quot;Порядком предоставления дополнительных мер социальной поддержки граждан в целях соблюдения предельных (максимальных) индексов изменения размера вносимой гражданами платы за коммунальные услуги в  {КонсультантПлюс}">
              <w:r>
                <w:rPr>
                  <w:sz w:val="20"/>
                  <w:color w:val="0000ff"/>
                </w:rPr>
                <w:t xml:space="preserve">постановление</w:t>
              </w:r>
            </w:hyperlink>
            <w:r>
              <w:rPr>
                <w:sz w:val="20"/>
              </w:rPr>
              <w:t xml:space="preserve"> администрации области от 08.11.2019 N 785)</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r>
      <w:tr>
        <w:tc>
          <w:tcPr>
            <w:tcW w:w="680" w:type="dxa"/>
          </w:tcPr>
          <w:p>
            <w:pPr>
              <w:pStyle w:val="0"/>
            </w:pPr>
            <w:r>
              <w:rPr>
                <w:sz w:val="20"/>
              </w:rPr>
            </w:r>
          </w:p>
        </w:tc>
        <w:tc>
          <w:tcPr>
            <w:tcW w:w="3628" w:type="dxa"/>
          </w:tcPr>
          <w:p>
            <w:pPr>
              <w:pStyle w:val="0"/>
            </w:pPr>
            <w:r>
              <w:rPr>
                <w:sz w:val="20"/>
              </w:rPr>
              <w:t xml:space="preserve">Увеличение расходов на реализацию мер по содействию занятости граждан в связи с увеличением минимального размера оплаты труда</w:t>
            </w:r>
          </w:p>
        </w:tc>
        <w:tc>
          <w:tcPr>
            <w:tcW w:w="1587" w:type="dxa"/>
          </w:tcPr>
          <w:p>
            <w:pPr>
              <w:pStyle w:val="0"/>
              <w:jc w:val="center"/>
            </w:pPr>
            <w:r>
              <w:rPr>
                <w:sz w:val="20"/>
              </w:rPr>
              <w:t xml:space="preserve">4133,9</w:t>
            </w:r>
          </w:p>
        </w:tc>
        <w:tc>
          <w:tcPr>
            <w:tcW w:w="1587" w:type="dxa"/>
          </w:tcPr>
          <w:p>
            <w:pPr>
              <w:pStyle w:val="0"/>
              <w:jc w:val="center"/>
            </w:pPr>
            <w:r>
              <w:rPr>
                <w:sz w:val="20"/>
              </w:rPr>
              <w:t xml:space="preserve">4133,9</w:t>
            </w:r>
          </w:p>
        </w:tc>
        <w:tc>
          <w:tcPr>
            <w:tcW w:w="1587" w:type="dxa"/>
          </w:tcPr>
          <w:p>
            <w:pPr>
              <w:pStyle w:val="0"/>
              <w:jc w:val="center"/>
            </w:pPr>
            <w:r>
              <w:rPr>
                <w:sz w:val="20"/>
              </w:rPr>
              <w:t xml:space="preserve">4133,9</w:t>
            </w:r>
          </w:p>
        </w:tc>
      </w:tr>
      <w:tr>
        <w:tc>
          <w:tcPr>
            <w:tcW w:w="680" w:type="dxa"/>
          </w:tcPr>
          <w:p>
            <w:pPr>
              <w:pStyle w:val="0"/>
              <w:jc w:val="center"/>
            </w:pPr>
            <w:r>
              <w:rPr>
                <w:sz w:val="20"/>
              </w:rPr>
              <w:t xml:space="preserve">2.3.</w:t>
            </w:r>
          </w:p>
        </w:tc>
        <w:tc>
          <w:tcPr>
            <w:tcW w:w="3628" w:type="dxa"/>
          </w:tcPr>
          <w:p>
            <w:pPr>
              <w:pStyle w:val="0"/>
            </w:pPr>
            <w:r>
              <w:rPr>
                <w:sz w:val="20"/>
              </w:rPr>
              <w:t xml:space="preserve">Укрепление материально-технической базы учреждений здравоохранения области в соответствии с рекомендациями Законодательного Собрания области (</w:t>
            </w:r>
            <w:hyperlink w:history="0" r:id="rId87" w:tooltip="Постановление Законодательного Собрания Владимирской области от 30.06.2022 N 161 &quot;О Законе Владимирской области &quot;Об исполнении областного бюджета за 2021 год&quot; {КонсультантПлюс}">
              <w:r>
                <w:rPr>
                  <w:sz w:val="20"/>
                  <w:color w:val="0000ff"/>
                </w:rPr>
                <w:t xml:space="preserve">постановление</w:t>
              </w:r>
            </w:hyperlink>
            <w:r>
              <w:rPr>
                <w:sz w:val="20"/>
              </w:rPr>
              <w:t xml:space="preserve"> от 30.06.2022 N 161)</w:t>
            </w:r>
          </w:p>
        </w:tc>
        <w:tc>
          <w:tcPr>
            <w:tcW w:w="1587" w:type="dxa"/>
          </w:tcPr>
          <w:p>
            <w:pPr>
              <w:pStyle w:val="0"/>
              <w:jc w:val="center"/>
            </w:pPr>
            <w:r>
              <w:rPr>
                <w:sz w:val="20"/>
              </w:rPr>
              <w:t xml:space="preserve">364702,8</w:t>
            </w:r>
          </w:p>
        </w:tc>
        <w:tc>
          <w:tcPr>
            <w:tcW w:w="1587" w:type="dxa"/>
          </w:tcPr>
          <w:p>
            <w:pPr>
              <w:pStyle w:val="0"/>
              <w:jc w:val="center"/>
            </w:pPr>
            <w:r>
              <w:rPr>
                <w:sz w:val="20"/>
              </w:rPr>
              <w:t xml:space="preserve">364702,8</w:t>
            </w:r>
          </w:p>
        </w:tc>
        <w:tc>
          <w:tcPr>
            <w:tcW w:w="1587" w:type="dxa"/>
          </w:tcPr>
          <w:p>
            <w:pPr>
              <w:pStyle w:val="0"/>
              <w:jc w:val="center"/>
            </w:pPr>
            <w:r>
              <w:rPr>
                <w:sz w:val="20"/>
              </w:rPr>
              <w:t xml:space="preserve">364702,8</w:t>
            </w:r>
          </w:p>
        </w:tc>
      </w:tr>
      <w:tr>
        <w:tc>
          <w:tcPr>
            <w:tcW w:w="680" w:type="dxa"/>
          </w:tcPr>
          <w:p>
            <w:pPr>
              <w:pStyle w:val="0"/>
              <w:jc w:val="center"/>
            </w:pPr>
            <w:r>
              <w:rPr>
                <w:sz w:val="20"/>
              </w:rPr>
              <w:t xml:space="preserve">2.4.</w:t>
            </w:r>
          </w:p>
        </w:tc>
        <w:tc>
          <w:tcPr>
            <w:tcW w:w="3628" w:type="dxa"/>
          </w:tcPr>
          <w:p>
            <w:pPr>
              <w:pStyle w:val="0"/>
            </w:pPr>
            <w:r>
              <w:rPr>
                <w:sz w:val="20"/>
              </w:rPr>
              <w:t xml:space="preserve">Увеличение расходов на реализацию общеобразовательных программ в муниципальных общеобразовательных организациях в связи с уточнением контингента обучающихся на 2023 год</w:t>
            </w:r>
          </w:p>
        </w:tc>
        <w:tc>
          <w:tcPr>
            <w:tcW w:w="1587" w:type="dxa"/>
          </w:tcPr>
          <w:p>
            <w:pPr>
              <w:pStyle w:val="0"/>
              <w:jc w:val="center"/>
            </w:pPr>
            <w:r>
              <w:rPr>
                <w:sz w:val="20"/>
              </w:rPr>
              <w:t xml:space="preserve">72297,8</w:t>
            </w:r>
          </w:p>
        </w:tc>
        <w:tc>
          <w:tcPr>
            <w:tcW w:w="1587" w:type="dxa"/>
          </w:tcPr>
          <w:p>
            <w:pPr>
              <w:pStyle w:val="0"/>
              <w:jc w:val="center"/>
            </w:pPr>
            <w:r>
              <w:rPr>
                <w:sz w:val="20"/>
              </w:rPr>
              <w:t xml:space="preserve">72297,8</w:t>
            </w:r>
          </w:p>
        </w:tc>
        <w:tc>
          <w:tcPr>
            <w:tcW w:w="1587" w:type="dxa"/>
          </w:tcPr>
          <w:p>
            <w:pPr>
              <w:pStyle w:val="0"/>
              <w:jc w:val="center"/>
            </w:pPr>
            <w:r>
              <w:rPr>
                <w:sz w:val="20"/>
              </w:rPr>
              <w:t xml:space="preserve">72297,8</w:t>
            </w:r>
          </w:p>
        </w:tc>
      </w:tr>
      <w:tr>
        <w:tc>
          <w:tcPr>
            <w:tcW w:w="680" w:type="dxa"/>
          </w:tcPr>
          <w:p>
            <w:pPr>
              <w:pStyle w:val="0"/>
              <w:jc w:val="center"/>
            </w:pPr>
            <w:r>
              <w:rPr>
                <w:sz w:val="20"/>
              </w:rPr>
              <w:t xml:space="preserve">2.5.</w:t>
            </w:r>
          </w:p>
        </w:tc>
        <w:tc>
          <w:tcPr>
            <w:tcW w:w="3628" w:type="dxa"/>
          </w:tcPr>
          <w:p>
            <w:pPr>
              <w:pStyle w:val="0"/>
            </w:pPr>
            <w:r>
              <w:rPr>
                <w:sz w:val="20"/>
              </w:rPr>
              <w:t xml:space="preserve">Строительство школы на 1100 мест в мкр. Сновицы-Веризино, г. Владимир, с привлечением средств из федерального бюджета</w:t>
            </w:r>
          </w:p>
        </w:tc>
        <w:tc>
          <w:tcPr>
            <w:tcW w:w="1587" w:type="dxa"/>
          </w:tcPr>
          <w:p>
            <w:pPr>
              <w:pStyle w:val="0"/>
              <w:jc w:val="center"/>
            </w:pPr>
            <w:r>
              <w:rPr>
                <w:sz w:val="20"/>
              </w:rPr>
              <w:t xml:space="preserve">80680,3</w:t>
            </w:r>
          </w:p>
        </w:tc>
        <w:tc>
          <w:tcPr>
            <w:tcW w:w="1587" w:type="dxa"/>
          </w:tcPr>
          <w:p>
            <w:pPr>
              <w:pStyle w:val="0"/>
              <w:jc w:val="center"/>
            </w:pPr>
            <w:r>
              <w:rPr>
                <w:sz w:val="20"/>
              </w:rPr>
              <w:t xml:space="preserve">719919,9</w:t>
            </w:r>
          </w:p>
        </w:tc>
        <w:tc>
          <w:tcPr>
            <w:tcW w:w="1587" w:type="dxa"/>
          </w:tcPr>
          <w:p>
            <w:pPr>
              <w:pStyle w:val="0"/>
              <w:jc w:val="center"/>
            </w:pPr>
            <w:r>
              <w:rPr>
                <w:sz w:val="20"/>
              </w:rPr>
              <w:t xml:space="preserve">68161,8</w:t>
            </w:r>
          </w:p>
        </w:tc>
      </w:tr>
      <w:tr>
        <w:tc>
          <w:tcPr>
            <w:tcW w:w="680" w:type="dxa"/>
          </w:tcPr>
          <w:p>
            <w:pPr>
              <w:pStyle w:val="0"/>
              <w:jc w:val="center"/>
            </w:pPr>
            <w:r>
              <w:rPr>
                <w:sz w:val="20"/>
              </w:rPr>
              <w:t xml:space="preserve">2.6.</w:t>
            </w:r>
          </w:p>
        </w:tc>
        <w:tc>
          <w:tcPr>
            <w:tcW w:w="3628" w:type="dxa"/>
          </w:tcPr>
          <w:p>
            <w:pPr>
              <w:pStyle w:val="0"/>
            </w:pPr>
            <w:r>
              <w:rPr>
                <w:sz w:val="20"/>
              </w:rPr>
              <w:t xml:space="preserve">Увеличение объема резервного фонда администрации области и фонда чрезвычайных ситуаций</w:t>
            </w:r>
          </w:p>
        </w:tc>
        <w:tc>
          <w:tcPr>
            <w:tcW w:w="1587" w:type="dxa"/>
          </w:tcPr>
          <w:p>
            <w:pPr>
              <w:pStyle w:val="0"/>
              <w:jc w:val="center"/>
            </w:pPr>
            <w:r>
              <w:rPr>
                <w:sz w:val="20"/>
              </w:rPr>
              <w:t xml:space="preserve">1810000,0</w:t>
            </w:r>
          </w:p>
        </w:tc>
        <w:tc>
          <w:tcPr>
            <w:tcW w:w="1587" w:type="dxa"/>
          </w:tcPr>
          <w:p>
            <w:pPr>
              <w:pStyle w:val="0"/>
              <w:jc w:val="center"/>
            </w:pPr>
            <w:r>
              <w:rPr>
                <w:sz w:val="20"/>
              </w:rPr>
              <w:t xml:space="preserve">1560000,0</w:t>
            </w:r>
          </w:p>
        </w:tc>
        <w:tc>
          <w:tcPr>
            <w:tcW w:w="1587" w:type="dxa"/>
          </w:tcPr>
          <w:p>
            <w:pPr>
              <w:pStyle w:val="0"/>
              <w:jc w:val="center"/>
            </w:pPr>
            <w:r>
              <w:rPr>
                <w:sz w:val="20"/>
              </w:rPr>
              <w:t xml:space="preserve">1560000,0</w:t>
            </w:r>
          </w:p>
        </w:tc>
      </w:tr>
      <w:tr>
        <w:tc>
          <w:tcPr>
            <w:tcW w:w="680" w:type="dxa"/>
          </w:tcPr>
          <w:p>
            <w:pPr>
              <w:pStyle w:val="0"/>
              <w:jc w:val="center"/>
            </w:pPr>
            <w:r>
              <w:rPr>
                <w:sz w:val="20"/>
              </w:rPr>
              <w:t xml:space="preserve">2.7.</w:t>
            </w:r>
          </w:p>
        </w:tc>
        <w:tc>
          <w:tcPr>
            <w:tcW w:w="3628" w:type="dxa"/>
          </w:tcPr>
          <w:p>
            <w:pPr>
              <w:pStyle w:val="0"/>
            </w:pPr>
            <w:r>
              <w:rPr>
                <w:sz w:val="20"/>
              </w:rPr>
              <w:t xml:space="preserve">Индексация текущих расходов в части оплаты коммунальных услуг (на 4%)</w:t>
            </w:r>
          </w:p>
        </w:tc>
        <w:tc>
          <w:tcPr>
            <w:tcW w:w="1587" w:type="dxa"/>
          </w:tcPr>
          <w:p>
            <w:pPr>
              <w:pStyle w:val="0"/>
              <w:jc w:val="center"/>
            </w:pPr>
            <w:r>
              <w:rPr>
                <w:sz w:val="20"/>
              </w:rPr>
              <w:t xml:space="preserve">33663,9</w:t>
            </w:r>
          </w:p>
        </w:tc>
        <w:tc>
          <w:tcPr>
            <w:tcW w:w="1587" w:type="dxa"/>
          </w:tcPr>
          <w:p>
            <w:pPr>
              <w:pStyle w:val="0"/>
              <w:jc w:val="center"/>
            </w:pPr>
            <w:r>
              <w:rPr>
                <w:sz w:val="20"/>
              </w:rPr>
              <w:t xml:space="preserve">33663,9</w:t>
            </w:r>
          </w:p>
        </w:tc>
        <w:tc>
          <w:tcPr>
            <w:tcW w:w="1587" w:type="dxa"/>
          </w:tcPr>
          <w:p>
            <w:pPr>
              <w:pStyle w:val="0"/>
              <w:jc w:val="center"/>
            </w:pPr>
            <w:r>
              <w:rPr>
                <w:sz w:val="20"/>
              </w:rPr>
              <w:t xml:space="preserve">33663,9</w:t>
            </w:r>
          </w:p>
        </w:tc>
      </w:tr>
      <w:tr>
        <w:tc>
          <w:tcPr>
            <w:tcW w:w="680" w:type="dxa"/>
          </w:tcPr>
          <w:p>
            <w:pPr>
              <w:pStyle w:val="0"/>
              <w:jc w:val="center"/>
            </w:pPr>
            <w:r>
              <w:rPr>
                <w:sz w:val="20"/>
              </w:rPr>
              <w:t xml:space="preserve">2.8.</w:t>
            </w:r>
          </w:p>
        </w:tc>
        <w:tc>
          <w:tcPr>
            <w:tcW w:w="3628" w:type="dxa"/>
          </w:tcPr>
          <w:p>
            <w:pPr>
              <w:pStyle w:val="0"/>
            </w:pPr>
            <w:r>
              <w:rPr>
                <w:sz w:val="20"/>
              </w:rPr>
              <w:t xml:space="preserve">Увеличение процентных платежей по обслуживанию госдолга области в связи с привлечением кредитов от кредитных организаций для финансирования дефицита областного бюджета</w:t>
            </w:r>
          </w:p>
        </w:tc>
        <w:tc>
          <w:tcPr>
            <w:tcW w:w="1587" w:type="dxa"/>
          </w:tcPr>
          <w:p>
            <w:pPr>
              <w:pStyle w:val="0"/>
              <w:jc w:val="center"/>
            </w:pPr>
            <w:r>
              <w:rPr>
                <w:sz w:val="20"/>
              </w:rPr>
              <w:t xml:space="preserve">67808,7</w:t>
            </w:r>
          </w:p>
        </w:tc>
        <w:tc>
          <w:tcPr>
            <w:tcW w:w="1587" w:type="dxa"/>
          </w:tcPr>
          <w:p>
            <w:pPr>
              <w:pStyle w:val="0"/>
              <w:jc w:val="center"/>
            </w:pPr>
            <w:r>
              <w:rPr>
                <w:sz w:val="20"/>
              </w:rPr>
              <w:t xml:space="preserve">169161,5</w:t>
            </w:r>
          </w:p>
        </w:tc>
        <w:tc>
          <w:tcPr>
            <w:tcW w:w="1587" w:type="dxa"/>
          </w:tcPr>
          <w:p>
            <w:pPr>
              <w:pStyle w:val="0"/>
              <w:jc w:val="center"/>
            </w:pPr>
            <w:r>
              <w:rPr>
                <w:sz w:val="20"/>
              </w:rPr>
              <w:t xml:space="preserve">200471,2</w:t>
            </w:r>
          </w:p>
        </w:tc>
      </w:tr>
      <w:tr>
        <w:tc>
          <w:tcPr>
            <w:tcW w:w="680" w:type="dxa"/>
          </w:tcPr>
          <w:p>
            <w:pPr>
              <w:pStyle w:val="0"/>
              <w:jc w:val="center"/>
            </w:pPr>
            <w:r>
              <w:rPr>
                <w:sz w:val="20"/>
              </w:rPr>
              <w:t xml:space="preserve">2.9.</w:t>
            </w:r>
          </w:p>
        </w:tc>
        <w:tc>
          <w:tcPr>
            <w:tcW w:w="3628" w:type="dxa"/>
          </w:tcPr>
          <w:p>
            <w:pPr>
              <w:pStyle w:val="0"/>
            </w:pPr>
            <w:r>
              <w:rPr>
                <w:sz w:val="20"/>
              </w:rPr>
              <w:t xml:space="preserve">Реализация инвестиционных проектов за счет привлечения инфраструктурных бюджетных кредитов из федерального бюджета</w:t>
            </w:r>
          </w:p>
        </w:tc>
        <w:tc>
          <w:tcPr>
            <w:tcW w:w="1587" w:type="dxa"/>
          </w:tcPr>
          <w:p>
            <w:pPr>
              <w:pStyle w:val="0"/>
              <w:jc w:val="center"/>
            </w:pPr>
            <w:r>
              <w:rPr>
                <w:sz w:val="20"/>
              </w:rPr>
              <w:t xml:space="preserve">0,0</w:t>
            </w:r>
          </w:p>
        </w:tc>
        <w:tc>
          <w:tcPr>
            <w:tcW w:w="1587" w:type="dxa"/>
          </w:tcPr>
          <w:p>
            <w:pPr>
              <w:pStyle w:val="0"/>
              <w:jc w:val="center"/>
            </w:pPr>
            <w:r>
              <w:rPr>
                <w:sz w:val="20"/>
              </w:rPr>
              <w:t xml:space="preserve">1250403,0</w:t>
            </w:r>
          </w:p>
        </w:tc>
        <w:tc>
          <w:tcPr>
            <w:tcW w:w="1587" w:type="dxa"/>
          </w:tcPr>
          <w:p>
            <w:pPr>
              <w:pStyle w:val="0"/>
              <w:jc w:val="center"/>
            </w:pPr>
            <w:r>
              <w:rPr>
                <w:sz w:val="20"/>
              </w:rPr>
              <w:t xml:space="preserve">585000,0</w:t>
            </w:r>
          </w:p>
        </w:tc>
      </w:tr>
      <w:tr>
        <w:tc>
          <w:tcPr>
            <w:tcW w:w="680" w:type="dxa"/>
          </w:tcPr>
          <w:p>
            <w:pPr>
              <w:pStyle w:val="0"/>
              <w:jc w:val="center"/>
            </w:pPr>
            <w:r>
              <w:rPr>
                <w:sz w:val="20"/>
              </w:rPr>
              <w:t xml:space="preserve">2.10.</w:t>
            </w:r>
          </w:p>
        </w:tc>
        <w:tc>
          <w:tcPr>
            <w:tcW w:w="3628" w:type="dxa"/>
          </w:tcPr>
          <w:p>
            <w:pPr>
              <w:pStyle w:val="0"/>
            </w:pPr>
            <w:r>
              <w:rPr>
                <w:sz w:val="20"/>
              </w:rPr>
              <w:t xml:space="preserve">Условно утверждаемые расходы</w:t>
            </w:r>
          </w:p>
        </w:tc>
        <w:tc>
          <w:tcPr>
            <w:tcW w:w="1587" w:type="dxa"/>
          </w:tcPr>
          <w:p>
            <w:pPr>
              <w:pStyle w:val="0"/>
              <w:jc w:val="center"/>
            </w:pPr>
            <w:r>
              <w:rPr>
                <w:sz w:val="20"/>
              </w:rPr>
              <w:t xml:space="preserve">0,0</w:t>
            </w:r>
          </w:p>
        </w:tc>
        <w:tc>
          <w:tcPr>
            <w:tcW w:w="1587" w:type="dxa"/>
          </w:tcPr>
          <w:p>
            <w:pPr>
              <w:pStyle w:val="0"/>
              <w:jc w:val="center"/>
            </w:pPr>
            <w:r>
              <w:rPr>
                <w:sz w:val="20"/>
              </w:rPr>
              <w:t xml:space="preserve">1850000,0</w:t>
            </w:r>
          </w:p>
        </w:tc>
        <w:tc>
          <w:tcPr>
            <w:tcW w:w="1587" w:type="dxa"/>
          </w:tcPr>
          <w:p>
            <w:pPr>
              <w:pStyle w:val="0"/>
              <w:jc w:val="center"/>
            </w:pPr>
            <w:r>
              <w:rPr>
                <w:sz w:val="20"/>
              </w:rPr>
              <w:t xml:space="preserve">3700000,0</w:t>
            </w:r>
          </w:p>
        </w:tc>
      </w:tr>
      <w:tr>
        <w:tc>
          <w:tcPr>
            <w:tcW w:w="680" w:type="dxa"/>
          </w:tcPr>
          <w:p>
            <w:pPr>
              <w:pStyle w:val="0"/>
            </w:pPr>
            <w:r>
              <w:rPr>
                <w:sz w:val="20"/>
              </w:rPr>
            </w:r>
          </w:p>
        </w:tc>
        <w:tc>
          <w:tcPr>
            <w:tcW w:w="3628" w:type="dxa"/>
          </w:tcPr>
          <w:p>
            <w:pPr>
              <w:pStyle w:val="0"/>
            </w:pPr>
            <w:r>
              <w:rPr>
                <w:sz w:val="20"/>
              </w:rPr>
              <w:t xml:space="preserve">Итого расходы на исполнение действующих и вновь принимаемых расходных обязательств области в соответствии с действующим законодательством</w:t>
            </w:r>
          </w:p>
        </w:tc>
        <w:tc>
          <w:tcPr>
            <w:tcW w:w="1587" w:type="dxa"/>
          </w:tcPr>
          <w:p>
            <w:pPr>
              <w:pStyle w:val="0"/>
              <w:jc w:val="center"/>
            </w:pPr>
            <w:r>
              <w:rPr>
                <w:sz w:val="20"/>
              </w:rPr>
              <w:t xml:space="preserve">92725504,8</w:t>
            </w:r>
          </w:p>
        </w:tc>
        <w:tc>
          <w:tcPr>
            <w:tcW w:w="1587" w:type="dxa"/>
          </w:tcPr>
          <w:p>
            <w:pPr>
              <w:pStyle w:val="0"/>
              <w:jc w:val="center"/>
            </w:pPr>
            <w:r>
              <w:rPr>
                <w:sz w:val="20"/>
              </w:rPr>
              <w:t xml:space="preserve">90258670,7</w:t>
            </w:r>
          </w:p>
        </w:tc>
        <w:tc>
          <w:tcPr>
            <w:tcW w:w="1587" w:type="dxa"/>
          </w:tcPr>
          <w:p>
            <w:pPr>
              <w:pStyle w:val="0"/>
              <w:jc w:val="center"/>
            </w:pPr>
            <w:r>
              <w:rPr>
                <w:sz w:val="20"/>
              </w:rPr>
              <w:t xml:space="preserve">88921100,2</w:t>
            </w:r>
          </w:p>
        </w:tc>
      </w:tr>
      <w:tr>
        <w:tc>
          <w:tcPr>
            <w:tcW w:w="680" w:type="dxa"/>
          </w:tcPr>
          <w:p>
            <w:pPr>
              <w:pStyle w:val="0"/>
              <w:jc w:val="center"/>
            </w:pPr>
            <w:r>
              <w:rPr>
                <w:sz w:val="20"/>
              </w:rPr>
              <w:t xml:space="preserve">3.</w:t>
            </w:r>
          </w:p>
        </w:tc>
        <w:tc>
          <w:tcPr>
            <w:tcW w:w="3628" w:type="dxa"/>
          </w:tcPr>
          <w:p>
            <w:pPr>
              <w:pStyle w:val="0"/>
            </w:pPr>
            <w:r>
              <w:rPr>
                <w:sz w:val="20"/>
              </w:rPr>
              <w:t xml:space="preserve">Кроме того, реестр дополнительных расходных обязательств, заявленных главными распорядителями средств областного бюджета и не обеспеченных источниками финансирования, - всего</w:t>
            </w:r>
          </w:p>
        </w:tc>
        <w:tc>
          <w:tcPr>
            <w:tcW w:w="1587" w:type="dxa"/>
          </w:tcPr>
          <w:p>
            <w:pPr>
              <w:pStyle w:val="0"/>
              <w:jc w:val="center"/>
            </w:pPr>
            <w:r>
              <w:rPr>
                <w:sz w:val="20"/>
              </w:rPr>
              <w:t xml:space="preserve">3898350,0</w:t>
            </w:r>
          </w:p>
        </w:tc>
        <w:tc>
          <w:tcPr>
            <w:tcW w:w="1587" w:type="dxa"/>
          </w:tcPr>
          <w:p>
            <w:pPr>
              <w:pStyle w:val="0"/>
              <w:jc w:val="center"/>
            </w:pPr>
            <w:r>
              <w:rPr>
                <w:sz w:val="20"/>
              </w:rPr>
              <w:t xml:space="preserve">2408842,2</w:t>
            </w:r>
          </w:p>
        </w:tc>
        <w:tc>
          <w:tcPr>
            <w:tcW w:w="1587" w:type="dxa"/>
          </w:tcPr>
          <w:p>
            <w:pPr>
              <w:pStyle w:val="0"/>
              <w:jc w:val="center"/>
            </w:pPr>
            <w:r>
              <w:rPr>
                <w:sz w:val="20"/>
              </w:rPr>
              <w:t xml:space="preserve">1495144,5</w:t>
            </w:r>
          </w:p>
        </w:tc>
      </w:tr>
      <w:tr>
        <w:tc>
          <w:tcPr>
            <w:tcW w:w="680" w:type="dxa"/>
          </w:tcPr>
          <w:p>
            <w:pPr>
              <w:pStyle w:val="0"/>
            </w:pPr>
            <w:r>
              <w:rPr>
                <w:sz w:val="20"/>
              </w:rPr>
            </w:r>
          </w:p>
        </w:tc>
        <w:tc>
          <w:tcPr>
            <w:tcW w:w="3628" w:type="dxa"/>
          </w:tcPr>
          <w:p>
            <w:pPr>
              <w:pStyle w:val="0"/>
            </w:pPr>
            <w:r>
              <w:rPr>
                <w:sz w:val="20"/>
              </w:rPr>
              <w:t xml:space="preserve">в том числе по главным распорядителям средств областного бюджета:</w:t>
            </w:r>
          </w:p>
        </w:tc>
        <w:tc>
          <w:tcPr>
            <w:tcW w:w="1587" w:type="dxa"/>
          </w:tcPr>
          <w:p>
            <w:pPr>
              <w:pStyle w:val="0"/>
            </w:pPr>
            <w:r>
              <w:rPr>
                <w:sz w:val="20"/>
              </w:rPr>
            </w:r>
          </w:p>
        </w:tc>
        <w:tc>
          <w:tcPr>
            <w:tcW w:w="1587" w:type="dxa"/>
          </w:tcPr>
          <w:p>
            <w:pPr>
              <w:pStyle w:val="0"/>
            </w:pPr>
            <w:r>
              <w:rPr>
                <w:sz w:val="20"/>
              </w:rPr>
            </w:r>
          </w:p>
        </w:tc>
        <w:tc>
          <w:tcPr>
            <w:tcW w:w="1587" w:type="dxa"/>
          </w:tcPr>
          <w:p>
            <w:pPr>
              <w:pStyle w:val="0"/>
            </w:pPr>
            <w:r>
              <w:rPr>
                <w:sz w:val="20"/>
              </w:rPr>
            </w:r>
          </w:p>
        </w:tc>
      </w:tr>
      <w:tr>
        <w:tc>
          <w:tcPr>
            <w:tcW w:w="680" w:type="dxa"/>
          </w:tcPr>
          <w:p>
            <w:pPr>
              <w:pStyle w:val="0"/>
            </w:pPr>
            <w:r>
              <w:rPr>
                <w:sz w:val="20"/>
              </w:rPr>
            </w:r>
          </w:p>
        </w:tc>
        <w:tc>
          <w:tcPr>
            <w:tcW w:w="3628" w:type="dxa"/>
          </w:tcPr>
          <w:p>
            <w:pPr>
              <w:pStyle w:val="0"/>
            </w:pPr>
            <w:r>
              <w:rPr>
                <w:sz w:val="20"/>
              </w:rPr>
              <w:t xml:space="preserve">Администрация Владимирской области</w:t>
            </w:r>
          </w:p>
        </w:tc>
        <w:tc>
          <w:tcPr>
            <w:tcW w:w="1587" w:type="dxa"/>
          </w:tcPr>
          <w:p>
            <w:pPr>
              <w:pStyle w:val="0"/>
              <w:jc w:val="center"/>
            </w:pPr>
            <w:r>
              <w:rPr>
                <w:sz w:val="20"/>
              </w:rPr>
              <w:t xml:space="preserve">143556,5</w:t>
            </w:r>
          </w:p>
        </w:tc>
        <w:tc>
          <w:tcPr>
            <w:tcW w:w="1587" w:type="dxa"/>
          </w:tcPr>
          <w:p>
            <w:pPr>
              <w:pStyle w:val="0"/>
              <w:jc w:val="center"/>
            </w:pPr>
            <w:r>
              <w:rPr>
                <w:sz w:val="20"/>
              </w:rPr>
              <w:t xml:space="preserve">44082,4</w:t>
            </w:r>
          </w:p>
        </w:tc>
        <w:tc>
          <w:tcPr>
            <w:tcW w:w="1587" w:type="dxa"/>
          </w:tcPr>
          <w:p>
            <w:pPr>
              <w:pStyle w:val="0"/>
              <w:jc w:val="center"/>
            </w:pPr>
            <w:r>
              <w:rPr>
                <w:sz w:val="20"/>
              </w:rPr>
              <w:t xml:space="preserve">44082,4</w:t>
            </w:r>
          </w:p>
        </w:tc>
      </w:tr>
      <w:tr>
        <w:tc>
          <w:tcPr>
            <w:tcW w:w="680" w:type="dxa"/>
          </w:tcPr>
          <w:p>
            <w:pPr>
              <w:pStyle w:val="0"/>
            </w:pPr>
            <w:r>
              <w:rPr>
                <w:sz w:val="20"/>
              </w:rPr>
            </w:r>
          </w:p>
        </w:tc>
        <w:tc>
          <w:tcPr>
            <w:tcW w:w="3628" w:type="dxa"/>
          </w:tcPr>
          <w:p>
            <w:pPr>
              <w:pStyle w:val="0"/>
            </w:pPr>
            <w:r>
              <w:rPr>
                <w:sz w:val="20"/>
              </w:rPr>
              <w:t xml:space="preserve">Департамент регионального развития Владимирской области</w:t>
            </w:r>
          </w:p>
        </w:tc>
        <w:tc>
          <w:tcPr>
            <w:tcW w:w="1587" w:type="dxa"/>
          </w:tcPr>
          <w:p>
            <w:pPr>
              <w:pStyle w:val="0"/>
              <w:jc w:val="center"/>
            </w:pPr>
            <w:r>
              <w:rPr>
                <w:sz w:val="20"/>
              </w:rPr>
              <w:t xml:space="preserve">32240,0</w:t>
            </w:r>
          </w:p>
        </w:tc>
        <w:tc>
          <w:tcPr>
            <w:tcW w:w="1587" w:type="dxa"/>
          </w:tcPr>
          <w:p>
            <w:pPr>
              <w:pStyle w:val="0"/>
              <w:jc w:val="center"/>
            </w:pPr>
            <w:r>
              <w:rPr>
                <w:sz w:val="20"/>
              </w:rPr>
              <w:t xml:space="preserve">32240,0</w:t>
            </w:r>
          </w:p>
        </w:tc>
        <w:tc>
          <w:tcPr>
            <w:tcW w:w="1587" w:type="dxa"/>
          </w:tcPr>
          <w:p>
            <w:pPr>
              <w:pStyle w:val="0"/>
              <w:jc w:val="center"/>
            </w:pPr>
            <w:r>
              <w:rPr>
                <w:sz w:val="20"/>
              </w:rPr>
              <w:t xml:space="preserve">32240,0</w:t>
            </w:r>
          </w:p>
        </w:tc>
      </w:tr>
      <w:tr>
        <w:tc>
          <w:tcPr>
            <w:tcW w:w="680" w:type="dxa"/>
          </w:tcPr>
          <w:p>
            <w:pPr>
              <w:pStyle w:val="0"/>
            </w:pPr>
            <w:r>
              <w:rPr>
                <w:sz w:val="20"/>
              </w:rPr>
            </w:r>
          </w:p>
        </w:tc>
        <w:tc>
          <w:tcPr>
            <w:tcW w:w="3628" w:type="dxa"/>
          </w:tcPr>
          <w:p>
            <w:pPr>
              <w:pStyle w:val="0"/>
            </w:pPr>
            <w:r>
              <w:rPr>
                <w:sz w:val="20"/>
              </w:rPr>
              <w:t xml:space="preserve">Департамент транспорта и дорожного хозяйства Владимирской области</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c>
          <w:tcPr>
            <w:tcW w:w="1587" w:type="dxa"/>
          </w:tcPr>
          <w:p>
            <w:pPr>
              <w:pStyle w:val="0"/>
              <w:jc w:val="center"/>
            </w:pPr>
            <w:r>
              <w:rPr>
                <w:sz w:val="20"/>
              </w:rPr>
              <w:t xml:space="preserve">15000,0</w:t>
            </w:r>
          </w:p>
        </w:tc>
      </w:tr>
      <w:tr>
        <w:tc>
          <w:tcPr>
            <w:tcW w:w="680" w:type="dxa"/>
          </w:tcPr>
          <w:p>
            <w:pPr>
              <w:pStyle w:val="0"/>
            </w:pPr>
            <w:r>
              <w:rPr>
                <w:sz w:val="20"/>
              </w:rPr>
            </w:r>
          </w:p>
        </w:tc>
        <w:tc>
          <w:tcPr>
            <w:tcW w:w="3628" w:type="dxa"/>
          </w:tcPr>
          <w:p>
            <w:pPr>
              <w:pStyle w:val="0"/>
            </w:pPr>
            <w:r>
              <w:rPr>
                <w:sz w:val="20"/>
              </w:rPr>
              <w:t xml:space="preserve">Департамент юстиции Владимирской области</w:t>
            </w:r>
          </w:p>
        </w:tc>
        <w:tc>
          <w:tcPr>
            <w:tcW w:w="1587" w:type="dxa"/>
          </w:tcPr>
          <w:p>
            <w:pPr>
              <w:pStyle w:val="0"/>
              <w:jc w:val="center"/>
            </w:pPr>
            <w:r>
              <w:rPr>
                <w:sz w:val="20"/>
              </w:rPr>
              <w:t xml:space="preserve">28463,3</w:t>
            </w:r>
          </w:p>
        </w:tc>
        <w:tc>
          <w:tcPr>
            <w:tcW w:w="1587" w:type="dxa"/>
          </w:tcPr>
          <w:p>
            <w:pPr>
              <w:pStyle w:val="0"/>
              <w:jc w:val="center"/>
            </w:pPr>
            <w:r>
              <w:rPr>
                <w:sz w:val="20"/>
              </w:rPr>
              <w:t xml:space="preserve">28463,3</w:t>
            </w:r>
          </w:p>
        </w:tc>
        <w:tc>
          <w:tcPr>
            <w:tcW w:w="1587" w:type="dxa"/>
          </w:tcPr>
          <w:p>
            <w:pPr>
              <w:pStyle w:val="0"/>
              <w:jc w:val="center"/>
            </w:pPr>
            <w:r>
              <w:rPr>
                <w:sz w:val="20"/>
              </w:rPr>
              <w:t xml:space="preserve">28463,3</w:t>
            </w:r>
          </w:p>
        </w:tc>
      </w:tr>
      <w:tr>
        <w:tc>
          <w:tcPr>
            <w:tcW w:w="680" w:type="dxa"/>
          </w:tcPr>
          <w:p>
            <w:pPr>
              <w:pStyle w:val="0"/>
            </w:pPr>
            <w:r>
              <w:rPr>
                <w:sz w:val="20"/>
              </w:rPr>
            </w:r>
          </w:p>
        </w:tc>
        <w:tc>
          <w:tcPr>
            <w:tcW w:w="3628" w:type="dxa"/>
          </w:tcPr>
          <w:p>
            <w:pPr>
              <w:pStyle w:val="0"/>
            </w:pPr>
            <w:r>
              <w:rPr>
                <w:sz w:val="20"/>
              </w:rPr>
              <w:t xml:space="preserve">Департамент жилищно-коммунального хозяйства Владимирской области</w:t>
            </w:r>
          </w:p>
        </w:tc>
        <w:tc>
          <w:tcPr>
            <w:tcW w:w="1587" w:type="dxa"/>
          </w:tcPr>
          <w:p>
            <w:pPr>
              <w:pStyle w:val="0"/>
              <w:jc w:val="center"/>
            </w:pPr>
            <w:r>
              <w:rPr>
                <w:sz w:val="20"/>
              </w:rPr>
              <w:t xml:space="preserve">400000,0</w:t>
            </w:r>
          </w:p>
        </w:tc>
        <w:tc>
          <w:tcPr>
            <w:tcW w:w="1587" w:type="dxa"/>
          </w:tcPr>
          <w:p>
            <w:pPr>
              <w:pStyle w:val="0"/>
              <w:jc w:val="center"/>
            </w:pPr>
            <w:r>
              <w:rPr>
                <w:sz w:val="20"/>
              </w:rPr>
              <w:t xml:space="preserve">0,0</w:t>
            </w:r>
          </w:p>
        </w:tc>
        <w:tc>
          <w:tcPr>
            <w:tcW w:w="1587" w:type="dxa"/>
          </w:tcPr>
          <w:p>
            <w:pPr>
              <w:pStyle w:val="0"/>
              <w:jc w:val="center"/>
            </w:pPr>
            <w:r>
              <w:rPr>
                <w:sz w:val="20"/>
              </w:rPr>
              <w:t xml:space="preserve">0,0</w:t>
            </w:r>
          </w:p>
        </w:tc>
      </w:tr>
      <w:tr>
        <w:tc>
          <w:tcPr>
            <w:tcW w:w="680" w:type="dxa"/>
          </w:tcPr>
          <w:p>
            <w:pPr>
              <w:pStyle w:val="0"/>
            </w:pPr>
            <w:r>
              <w:rPr>
                <w:sz w:val="20"/>
              </w:rPr>
            </w:r>
          </w:p>
        </w:tc>
        <w:tc>
          <w:tcPr>
            <w:tcW w:w="3628" w:type="dxa"/>
          </w:tcPr>
          <w:p>
            <w:pPr>
              <w:pStyle w:val="0"/>
            </w:pPr>
            <w:r>
              <w:rPr>
                <w:sz w:val="20"/>
              </w:rPr>
              <w:t xml:space="preserve">Инспекция государственного жилищного надзора Владимирской области</w:t>
            </w:r>
          </w:p>
        </w:tc>
        <w:tc>
          <w:tcPr>
            <w:tcW w:w="1587" w:type="dxa"/>
          </w:tcPr>
          <w:p>
            <w:pPr>
              <w:pStyle w:val="0"/>
              <w:jc w:val="center"/>
            </w:pPr>
            <w:r>
              <w:rPr>
                <w:sz w:val="20"/>
              </w:rPr>
              <w:t xml:space="preserve">1828,4</w:t>
            </w:r>
          </w:p>
        </w:tc>
        <w:tc>
          <w:tcPr>
            <w:tcW w:w="1587" w:type="dxa"/>
          </w:tcPr>
          <w:p>
            <w:pPr>
              <w:pStyle w:val="0"/>
              <w:jc w:val="center"/>
            </w:pPr>
            <w:r>
              <w:rPr>
                <w:sz w:val="20"/>
              </w:rPr>
              <w:t xml:space="preserve">1828,4</w:t>
            </w:r>
          </w:p>
        </w:tc>
        <w:tc>
          <w:tcPr>
            <w:tcW w:w="1587" w:type="dxa"/>
          </w:tcPr>
          <w:p>
            <w:pPr>
              <w:pStyle w:val="0"/>
              <w:jc w:val="center"/>
            </w:pPr>
            <w:r>
              <w:rPr>
                <w:sz w:val="20"/>
              </w:rPr>
              <w:t xml:space="preserve">1828,4</w:t>
            </w:r>
          </w:p>
        </w:tc>
      </w:tr>
      <w:tr>
        <w:tc>
          <w:tcPr>
            <w:tcW w:w="680" w:type="dxa"/>
          </w:tcPr>
          <w:p>
            <w:pPr>
              <w:pStyle w:val="0"/>
            </w:pPr>
            <w:r>
              <w:rPr>
                <w:sz w:val="20"/>
              </w:rPr>
            </w:r>
          </w:p>
        </w:tc>
        <w:tc>
          <w:tcPr>
            <w:tcW w:w="3628" w:type="dxa"/>
          </w:tcPr>
          <w:p>
            <w:pPr>
              <w:pStyle w:val="0"/>
            </w:pPr>
            <w:r>
              <w:rPr>
                <w:sz w:val="20"/>
              </w:rPr>
              <w:t xml:space="preserve">Департамент экономического развития Владимирской области</w:t>
            </w:r>
          </w:p>
        </w:tc>
        <w:tc>
          <w:tcPr>
            <w:tcW w:w="1587" w:type="dxa"/>
          </w:tcPr>
          <w:p>
            <w:pPr>
              <w:pStyle w:val="0"/>
              <w:jc w:val="center"/>
            </w:pPr>
            <w:r>
              <w:rPr>
                <w:sz w:val="20"/>
              </w:rPr>
              <w:t xml:space="preserve">14324,0</w:t>
            </w:r>
          </w:p>
        </w:tc>
        <w:tc>
          <w:tcPr>
            <w:tcW w:w="1587" w:type="dxa"/>
          </w:tcPr>
          <w:p>
            <w:pPr>
              <w:pStyle w:val="0"/>
              <w:jc w:val="center"/>
            </w:pPr>
            <w:r>
              <w:rPr>
                <w:sz w:val="20"/>
              </w:rPr>
              <w:t xml:space="preserve">5495,0</w:t>
            </w:r>
          </w:p>
        </w:tc>
        <w:tc>
          <w:tcPr>
            <w:tcW w:w="1587" w:type="dxa"/>
          </w:tcPr>
          <w:p>
            <w:pPr>
              <w:pStyle w:val="0"/>
              <w:jc w:val="center"/>
            </w:pPr>
            <w:r>
              <w:rPr>
                <w:sz w:val="20"/>
              </w:rPr>
              <w:t xml:space="preserve">5495,0</w:t>
            </w:r>
          </w:p>
        </w:tc>
      </w:tr>
      <w:tr>
        <w:tc>
          <w:tcPr>
            <w:tcW w:w="680" w:type="dxa"/>
          </w:tcPr>
          <w:p>
            <w:pPr>
              <w:pStyle w:val="0"/>
            </w:pPr>
            <w:r>
              <w:rPr>
                <w:sz w:val="20"/>
              </w:rPr>
            </w:r>
          </w:p>
        </w:tc>
        <w:tc>
          <w:tcPr>
            <w:tcW w:w="3628" w:type="dxa"/>
          </w:tcPr>
          <w:p>
            <w:pPr>
              <w:pStyle w:val="0"/>
            </w:pPr>
            <w:r>
              <w:rPr>
                <w:sz w:val="20"/>
              </w:rPr>
              <w:t xml:space="preserve">Департамент природопользования и охраны окружающей среды Владимирской области</w:t>
            </w:r>
          </w:p>
        </w:tc>
        <w:tc>
          <w:tcPr>
            <w:tcW w:w="1587" w:type="dxa"/>
          </w:tcPr>
          <w:p>
            <w:pPr>
              <w:pStyle w:val="0"/>
              <w:jc w:val="center"/>
            </w:pPr>
            <w:r>
              <w:rPr>
                <w:sz w:val="20"/>
              </w:rPr>
              <w:t xml:space="preserve">212385,9</w:t>
            </w:r>
          </w:p>
        </w:tc>
        <w:tc>
          <w:tcPr>
            <w:tcW w:w="1587" w:type="dxa"/>
          </w:tcPr>
          <w:p>
            <w:pPr>
              <w:pStyle w:val="0"/>
              <w:jc w:val="center"/>
            </w:pPr>
            <w:r>
              <w:rPr>
                <w:sz w:val="20"/>
              </w:rPr>
              <w:t xml:space="preserve">412300,0</w:t>
            </w:r>
          </w:p>
        </w:tc>
        <w:tc>
          <w:tcPr>
            <w:tcW w:w="1587" w:type="dxa"/>
          </w:tcPr>
          <w:p>
            <w:pPr>
              <w:pStyle w:val="0"/>
              <w:jc w:val="center"/>
            </w:pPr>
            <w:r>
              <w:rPr>
                <w:sz w:val="20"/>
              </w:rPr>
              <w:t xml:space="preserve">120000,0</w:t>
            </w:r>
          </w:p>
        </w:tc>
      </w:tr>
      <w:tr>
        <w:tc>
          <w:tcPr>
            <w:tcW w:w="680" w:type="dxa"/>
          </w:tcPr>
          <w:p>
            <w:pPr>
              <w:pStyle w:val="0"/>
            </w:pPr>
            <w:r>
              <w:rPr>
                <w:sz w:val="20"/>
              </w:rPr>
            </w:r>
          </w:p>
        </w:tc>
        <w:tc>
          <w:tcPr>
            <w:tcW w:w="3628" w:type="dxa"/>
          </w:tcPr>
          <w:p>
            <w:pPr>
              <w:pStyle w:val="0"/>
            </w:pPr>
            <w:r>
              <w:rPr>
                <w:sz w:val="20"/>
              </w:rPr>
              <w:t xml:space="preserve">Департамент труда и занятости населения Владимирской области</w:t>
            </w:r>
          </w:p>
        </w:tc>
        <w:tc>
          <w:tcPr>
            <w:tcW w:w="1587" w:type="dxa"/>
          </w:tcPr>
          <w:p>
            <w:pPr>
              <w:pStyle w:val="0"/>
              <w:jc w:val="center"/>
            </w:pPr>
            <w:r>
              <w:rPr>
                <w:sz w:val="20"/>
              </w:rPr>
              <w:t xml:space="preserve">110802,7</w:t>
            </w:r>
          </w:p>
        </w:tc>
        <w:tc>
          <w:tcPr>
            <w:tcW w:w="1587" w:type="dxa"/>
          </w:tcPr>
          <w:p>
            <w:pPr>
              <w:pStyle w:val="0"/>
              <w:jc w:val="center"/>
            </w:pPr>
            <w:r>
              <w:rPr>
                <w:sz w:val="20"/>
              </w:rPr>
              <w:t xml:space="preserve">110802,7</w:t>
            </w:r>
          </w:p>
        </w:tc>
        <w:tc>
          <w:tcPr>
            <w:tcW w:w="1587" w:type="dxa"/>
          </w:tcPr>
          <w:p>
            <w:pPr>
              <w:pStyle w:val="0"/>
              <w:jc w:val="center"/>
            </w:pPr>
            <w:r>
              <w:rPr>
                <w:sz w:val="20"/>
              </w:rPr>
              <w:t xml:space="preserve">110802,7</w:t>
            </w:r>
          </w:p>
        </w:tc>
      </w:tr>
      <w:tr>
        <w:tc>
          <w:tcPr>
            <w:tcW w:w="680" w:type="dxa"/>
          </w:tcPr>
          <w:p>
            <w:pPr>
              <w:pStyle w:val="0"/>
            </w:pPr>
            <w:r>
              <w:rPr>
                <w:sz w:val="20"/>
              </w:rPr>
            </w:r>
          </w:p>
        </w:tc>
        <w:tc>
          <w:tcPr>
            <w:tcW w:w="3628" w:type="dxa"/>
          </w:tcPr>
          <w:p>
            <w:pPr>
              <w:pStyle w:val="0"/>
            </w:pPr>
            <w:r>
              <w:rPr>
                <w:sz w:val="20"/>
              </w:rPr>
              <w:t xml:space="preserve">Департамент лесного хозяйства Владимирской области</w:t>
            </w:r>
          </w:p>
        </w:tc>
        <w:tc>
          <w:tcPr>
            <w:tcW w:w="1587" w:type="dxa"/>
          </w:tcPr>
          <w:p>
            <w:pPr>
              <w:pStyle w:val="0"/>
              <w:jc w:val="center"/>
            </w:pPr>
            <w:r>
              <w:rPr>
                <w:sz w:val="20"/>
              </w:rPr>
              <w:t xml:space="preserve">124400,0</w:t>
            </w:r>
          </w:p>
        </w:tc>
        <w:tc>
          <w:tcPr>
            <w:tcW w:w="1587" w:type="dxa"/>
          </w:tcPr>
          <w:p>
            <w:pPr>
              <w:pStyle w:val="0"/>
              <w:jc w:val="center"/>
            </w:pPr>
            <w:r>
              <w:rPr>
                <w:sz w:val="20"/>
              </w:rPr>
              <w:t xml:space="preserve">105500,0</w:t>
            </w:r>
          </w:p>
        </w:tc>
        <w:tc>
          <w:tcPr>
            <w:tcW w:w="1587" w:type="dxa"/>
          </w:tcPr>
          <w:p>
            <w:pPr>
              <w:pStyle w:val="0"/>
              <w:jc w:val="center"/>
            </w:pPr>
            <w:r>
              <w:rPr>
                <w:sz w:val="20"/>
              </w:rPr>
              <w:t xml:space="preserve">41000,0</w:t>
            </w:r>
          </w:p>
        </w:tc>
      </w:tr>
      <w:tr>
        <w:tc>
          <w:tcPr>
            <w:tcW w:w="680" w:type="dxa"/>
          </w:tcPr>
          <w:p>
            <w:pPr>
              <w:pStyle w:val="0"/>
            </w:pPr>
            <w:r>
              <w:rPr>
                <w:sz w:val="20"/>
              </w:rPr>
            </w:r>
          </w:p>
        </w:tc>
        <w:tc>
          <w:tcPr>
            <w:tcW w:w="3628" w:type="dxa"/>
          </w:tcPr>
          <w:p>
            <w:pPr>
              <w:pStyle w:val="0"/>
            </w:pPr>
            <w:r>
              <w:rPr>
                <w:sz w:val="20"/>
              </w:rPr>
              <w:t xml:space="preserve">Инспекция государственной охраны объектов культурного наследия Владимирской области</w:t>
            </w:r>
          </w:p>
        </w:tc>
        <w:tc>
          <w:tcPr>
            <w:tcW w:w="1587" w:type="dxa"/>
          </w:tcPr>
          <w:p>
            <w:pPr>
              <w:pStyle w:val="0"/>
              <w:jc w:val="center"/>
            </w:pPr>
            <w:r>
              <w:rPr>
                <w:sz w:val="20"/>
              </w:rPr>
              <w:t xml:space="preserve">17000,0</w:t>
            </w:r>
          </w:p>
        </w:tc>
        <w:tc>
          <w:tcPr>
            <w:tcW w:w="1587" w:type="dxa"/>
          </w:tcPr>
          <w:p>
            <w:pPr>
              <w:pStyle w:val="0"/>
              <w:jc w:val="center"/>
            </w:pPr>
            <w:r>
              <w:rPr>
                <w:sz w:val="20"/>
              </w:rPr>
              <w:t xml:space="preserve">17000,0</w:t>
            </w:r>
          </w:p>
        </w:tc>
        <w:tc>
          <w:tcPr>
            <w:tcW w:w="1587" w:type="dxa"/>
          </w:tcPr>
          <w:p>
            <w:pPr>
              <w:pStyle w:val="0"/>
              <w:jc w:val="center"/>
            </w:pPr>
            <w:r>
              <w:rPr>
                <w:sz w:val="20"/>
              </w:rPr>
              <w:t xml:space="preserve">17000,0</w:t>
            </w:r>
          </w:p>
        </w:tc>
      </w:tr>
      <w:tr>
        <w:tc>
          <w:tcPr>
            <w:tcW w:w="680" w:type="dxa"/>
          </w:tcPr>
          <w:p>
            <w:pPr>
              <w:pStyle w:val="0"/>
            </w:pPr>
            <w:r>
              <w:rPr>
                <w:sz w:val="20"/>
              </w:rPr>
            </w:r>
          </w:p>
        </w:tc>
        <w:tc>
          <w:tcPr>
            <w:tcW w:w="3628" w:type="dxa"/>
          </w:tcPr>
          <w:p>
            <w:pPr>
              <w:pStyle w:val="0"/>
            </w:pPr>
            <w:r>
              <w:rPr>
                <w:sz w:val="20"/>
              </w:rPr>
              <w:t xml:space="preserve">Департамент социальной защиты населения Владимирской области</w:t>
            </w:r>
          </w:p>
        </w:tc>
        <w:tc>
          <w:tcPr>
            <w:tcW w:w="1587" w:type="dxa"/>
          </w:tcPr>
          <w:p>
            <w:pPr>
              <w:pStyle w:val="0"/>
              <w:jc w:val="center"/>
            </w:pPr>
            <w:r>
              <w:rPr>
                <w:sz w:val="20"/>
              </w:rPr>
              <w:t xml:space="preserve">168381,0</w:t>
            </w:r>
          </w:p>
        </w:tc>
        <w:tc>
          <w:tcPr>
            <w:tcW w:w="1587" w:type="dxa"/>
          </w:tcPr>
          <w:p>
            <w:pPr>
              <w:pStyle w:val="0"/>
              <w:jc w:val="center"/>
            </w:pPr>
            <w:r>
              <w:rPr>
                <w:sz w:val="20"/>
              </w:rPr>
              <w:t xml:space="preserve">168381,0</w:t>
            </w:r>
          </w:p>
        </w:tc>
        <w:tc>
          <w:tcPr>
            <w:tcW w:w="1587" w:type="dxa"/>
          </w:tcPr>
          <w:p>
            <w:pPr>
              <w:pStyle w:val="0"/>
              <w:jc w:val="center"/>
            </w:pPr>
            <w:r>
              <w:rPr>
                <w:sz w:val="20"/>
              </w:rPr>
              <w:t xml:space="preserve">168381,0</w:t>
            </w:r>
          </w:p>
        </w:tc>
      </w:tr>
      <w:tr>
        <w:tc>
          <w:tcPr>
            <w:tcW w:w="680" w:type="dxa"/>
          </w:tcPr>
          <w:p>
            <w:pPr>
              <w:pStyle w:val="0"/>
            </w:pPr>
            <w:r>
              <w:rPr>
                <w:sz w:val="20"/>
              </w:rPr>
            </w:r>
          </w:p>
        </w:tc>
        <w:tc>
          <w:tcPr>
            <w:tcW w:w="3628" w:type="dxa"/>
          </w:tcPr>
          <w:p>
            <w:pPr>
              <w:pStyle w:val="0"/>
            </w:pPr>
            <w:r>
              <w:rPr>
                <w:sz w:val="20"/>
              </w:rPr>
              <w:t xml:space="preserve">Департамент физической культуры и спорта Владимирской области</w:t>
            </w:r>
          </w:p>
        </w:tc>
        <w:tc>
          <w:tcPr>
            <w:tcW w:w="1587" w:type="dxa"/>
          </w:tcPr>
          <w:p>
            <w:pPr>
              <w:pStyle w:val="0"/>
              <w:jc w:val="center"/>
            </w:pPr>
            <w:r>
              <w:rPr>
                <w:sz w:val="20"/>
              </w:rPr>
              <w:t xml:space="preserve">249266,9</w:t>
            </w:r>
          </w:p>
        </w:tc>
        <w:tc>
          <w:tcPr>
            <w:tcW w:w="1587" w:type="dxa"/>
          </w:tcPr>
          <w:p>
            <w:pPr>
              <w:pStyle w:val="0"/>
              <w:jc w:val="center"/>
            </w:pPr>
            <w:r>
              <w:rPr>
                <w:sz w:val="20"/>
              </w:rPr>
              <w:t xml:space="preserve">159825,7</w:t>
            </w:r>
          </w:p>
        </w:tc>
        <w:tc>
          <w:tcPr>
            <w:tcW w:w="1587" w:type="dxa"/>
          </w:tcPr>
          <w:p>
            <w:pPr>
              <w:pStyle w:val="0"/>
              <w:jc w:val="center"/>
            </w:pPr>
            <w:r>
              <w:rPr>
                <w:sz w:val="20"/>
              </w:rPr>
              <w:t xml:space="preserve">233050,9</w:t>
            </w:r>
          </w:p>
        </w:tc>
      </w:tr>
      <w:tr>
        <w:tc>
          <w:tcPr>
            <w:tcW w:w="680" w:type="dxa"/>
          </w:tcPr>
          <w:p>
            <w:pPr>
              <w:pStyle w:val="0"/>
            </w:pPr>
            <w:r>
              <w:rPr>
                <w:sz w:val="20"/>
              </w:rPr>
            </w:r>
          </w:p>
        </w:tc>
        <w:tc>
          <w:tcPr>
            <w:tcW w:w="3628" w:type="dxa"/>
          </w:tcPr>
          <w:p>
            <w:pPr>
              <w:pStyle w:val="0"/>
            </w:pPr>
            <w:r>
              <w:rPr>
                <w:sz w:val="20"/>
              </w:rPr>
              <w:t xml:space="preserve">Департамент цифрового развития Владимирской области</w:t>
            </w:r>
          </w:p>
        </w:tc>
        <w:tc>
          <w:tcPr>
            <w:tcW w:w="1587" w:type="dxa"/>
          </w:tcPr>
          <w:p>
            <w:pPr>
              <w:pStyle w:val="0"/>
              <w:jc w:val="center"/>
            </w:pPr>
            <w:r>
              <w:rPr>
                <w:sz w:val="20"/>
              </w:rPr>
              <w:t xml:space="preserve">5200,0</w:t>
            </w:r>
          </w:p>
        </w:tc>
        <w:tc>
          <w:tcPr>
            <w:tcW w:w="1587" w:type="dxa"/>
          </w:tcPr>
          <w:p>
            <w:pPr>
              <w:pStyle w:val="0"/>
              <w:jc w:val="center"/>
            </w:pPr>
            <w:r>
              <w:rPr>
                <w:sz w:val="20"/>
              </w:rPr>
              <w:t xml:space="preserve">5200,0</w:t>
            </w:r>
          </w:p>
        </w:tc>
        <w:tc>
          <w:tcPr>
            <w:tcW w:w="1587" w:type="dxa"/>
          </w:tcPr>
          <w:p>
            <w:pPr>
              <w:pStyle w:val="0"/>
              <w:jc w:val="center"/>
            </w:pPr>
            <w:r>
              <w:rPr>
                <w:sz w:val="20"/>
              </w:rPr>
              <w:t xml:space="preserve">5200,0</w:t>
            </w:r>
          </w:p>
        </w:tc>
      </w:tr>
      <w:tr>
        <w:tc>
          <w:tcPr>
            <w:tcW w:w="680" w:type="dxa"/>
          </w:tcPr>
          <w:p>
            <w:pPr>
              <w:pStyle w:val="0"/>
            </w:pPr>
            <w:r>
              <w:rPr>
                <w:sz w:val="20"/>
              </w:rPr>
            </w:r>
          </w:p>
        </w:tc>
        <w:tc>
          <w:tcPr>
            <w:tcW w:w="3628" w:type="dxa"/>
          </w:tcPr>
          <w:p>
            <w:pPr>
              <w:pStyle w:val="0"/>
            </w:pPr>
            <w:r>
              <w:rPr>
                <w:sz w:val="20"/>
              </w:rPr>
              <w:t xml:space="preserve">Департамент образования Владимирской области</w:t>
            </w:r>
          </w:p>
        </w:tc>
        <w:tc>
          <w:tcPr>
            <w:tcW w:w="1587" w:type="dxa"/>
          </w:tcPr>
          <w:p>
            <w:pPr>
              <w:pStyle w:val="0"/>
              <w:jc w:val="center"/>
            </w:pPr>
            <w:r>
              <w:rPr>
                <w:sz w:val="20"/>
              </w:rPr>
              <w:t xml:space="preserve">1733154,9</w:t>
            </w:r>
          </w:p>
        </w:tc>
        <w:tc>
          <w:tcPr>
            <w:tcW w:w="1587" w:type="dxa"/>
          </w:tcPr>
          <w:p>
            <w:pPr>
              <w:pStyle w:val="0"/>
              <w:jc w:val="center"/>
            </w:pPr>
            <w:r>
              <w:rPr>
                <w:sz w:val="20"/>
              </w:rPr>
              <w:t xml:space="preserve">809315,9</w:t>
            </w:r>
          </w:p>
        </w:tc>
        <w:tc>
          <w:tcPr>
            <w:tcW w:w="1587" w:type="dxa"/>
          </w:tcPr>
          <w:p>
            <w:pPr>
              <w:pStyle w:val="0"/>
              <w:jc w:val="center"/>
            </w:pPr>
            <w:r>
              <w:rPr>
                <w:sz w:val="20"/>
              </w:rPr>
              <w:t xml:space="preserve">181193,0</w:t>
            </w:r>
          </w:p>
        </w:tc>
      </w:tr>
      <w:tr>
        <w:tc>
          <w:tcPr>
            <w:tcW w:w="680" w:type="dxa"/>
          </w:tcPr>
          <w:p>
            <w:pPr>
              <w:pStyle w:val="0"/>
            </w:pPr>
            <w:r>
              <w:rPr>
                <w:sz w:val="20"/>
              </w:rPr>
            </w:r>
          </w:p>
        </w:tc>
        <w:tc>
          <w:tcPr>
            <w:tcW w:w="3628" w:type="dxa"/>
          </w:tcPr>
          <w:p>
            <w:pPr>
              <w:pStyle w:val="0"/>
            </w:pPr>
            <w:r>
              <w:rPr>
                <w:sz w:val="20"/>
              </w:rPr>
              <w:t xml:space="preserve">Инспекция государственного надзора в сфере охраны и использования объектов животного мира Владимирской области</w:t>
            </w:r>
          </w:p>
        </w:tc>
        <w:tc>
          <w:tcPr>
            <w:tcW w:w="1587" w:type="dxa"/>
          </w:tcPr>
          <w:p>
            <w:pPr>
              <w:pStyle w:val="0"/>
              <w:jc w:val="center"/>
            </w:pPr>
            <w:r>
              <w:rPr>
                <w:sz w:val="20"/>
              </w:rPr>
              <w:t xml:space="preserve">2160,0</w:t>
            </w:r>
          </w:p>
        </w:tc>
        <w:tc>
          <w:tcPr>
            <w:tcW w:w="1587" w:type="dxa"/>
          </w:tcPr>
          <w:p>
            <w:pPr>
              <w:pStyle w:val="0"/>
              <w:jc w:val="center"/>
            </w:pPr>
            <w:r>
              <w:rPr>
                <w:sz w:val="20"/>
              </w:rPr>
              <w:t xml:space="preserve">1560,0</w:t>
            </w:r>
          </w:p>
        </w:tc>
        <w:tc>
          <w:tcPr>
            <w:tcW w:w="1587" w:type="dxa"/>
          </w:tcPr>
          <w:p>
            <w:pPr>
              <w:pStyle w:val="0"/>
              <w:jc w:val="center"/>
            </w:pPr>
            <w:r>
              <w:rPr>
                <w:sz w:val="20"/>
              </w:rPr>
              <w:t xml:space="preserve">1560,0</w:t>
            </w:r>
          </w:p>
        </w:tc>
      </w:tr>
      <w:tr>
        <w:tc>
          <w:tcPr>
            <w:tcW w:w="680" w:type="dxa"/>
          </w:tcPr>
          <w:p>
            <w:pPr>
              <w:pStyle w:val="0"/>
            </w:pPr>
            <w:r>
              <w:rPr>
                <w:sz w:val="20"/>
              </w:rPr>
            </w:r>
          </w:p>
        </w:tc>
        <w:tc>
          <w:tcPr>
            <w:tcW w:w="3628" w:type="dxa"/>
          </w:tcPr>
          <w:p>
            <w:pPr>
              <w:pStyle w:val="0"/>
            </w:pPr>
            <w:r>
              <w:rPr>
                <w:sz w:val="20"/>
              </w:rPr>
              <w:t xml:space="preserve">Департамент сельского хозяйства Владимирской области</w:t>
            </w:r>
          </w:p>
        </w:tc>
        <w:tc>
          <w:tcPr>
            <w:tcW w:w="1587" w:type="dxa"/>
          </w:tcPr>
          <w:p>
            <w:pPr>
              <w:pStyle w:val="0"/>
              <w:jc w:val="center"/>
            </w:pPr>
            <w:r>
              <w:rPr>
                <w:sz w:val="20"/>
              </w:rPr>
              <w:t xml:space="preserve">508198,6</w:t>
            </w:r>
          </w:p>
        </w:tc>
        <w:tc>
          <w:tcPr>
            <w:tcW w:w="1587" w:type="dxa"/>
          </w:tcPr>
          <w:p>
            <w:pPr>
              <w:pStyle w:val="0"/>
              <w:jc w:val="center"/>
            </w:pPr>
            <w:r>
              <w:rPr>
                <w:sz w:val="20"/>
              </w:rPr>
              <w:t xml:space="preserve">436860,0</w:t>
            </w:r>
          </w:p>
        </w:tc>
        <w:tc>
          <w:tcPr>
            <w:tcW w:w="1587" w:type="dxa"/>
          </w:tcPr>
          <w:p>
            <w:pPr>
              <w:pStyle w:val="0"/>
              <w:jc w:val="center"/>
            </w:pPr>
            <w:r>
              <w:rPr>
                <w:sz w:val="20"/>
              </w:rPr>
              <w:t xml:space="preserve">434860,0</w:t>
            </w:r>
          </w:p>
        </w:tc>
      </w:tr>
      <w:tr>
        <w:tc>
          <w:tcPr>
            <w:tcW w:w="680" w:type="dxa"/>
          </w:tcPr>
          <w:p>
            <w:pPr>
              <w:pStyle w:val="0"/>
            </w:pPr>
            <w:r>
              <w:rPr>
                <w:sz w:val="20"/>
              </w:rPr>
            </w:r>
          </w:p>
        </w:tc>
        <w:tc>
          <w:tcPr>
            <w:tcW w:w="3628" w:type="dxa"/>
          </w:tcPr>
          <w:p>
            <w:pPr>
              <w:pStyle w:val="0"/>
            </w:pPr>
            <w:r>
              <w:rPr>
                <w:sz w:val="20"/>
              </w:rPr>
              <w:t xml:space="preserve">Департамент ветеринарии Владимирской области</w:t>
            </w:r>
          </w:p>
        </w:tc>
        <w:tc>
          <w:tcPr>
            <w:tcW w:w="1587" w:type="dxa"/>
          </w:tcPr>
          <w:p>
            <w:pPr>
              <w:pStyle w:val="0"/>
              <w:jc w:val="center"/>
            </w:pPr>
            <w:r>
              <w:rPr>
                <w:sz w:val="20"/>
              </w:rPr>
              <w:t xml:space="preserve">131987,8</w:t>
            </w:r>
          </w:p>
        </w:tc>
        <w:tc>
          <w:tcPr>
            <w:tcW w:w="1587" w:type="dxa"/>
          </w:tcPr>
          <w:p>
            <w:pPr>
              <w:pStyle w:val="0"/>
              <w:jc w:val="center"/>
            </w:pPr>
            <w:r>
              <w:rPr>
                <w:sz w:val="20"/>
              </w:rPr>
              <w:t xml:space="preserve">54987,8</w:t>
            </w:r>
          </w:p>
        </w:tc>
        <w:tc>
          <w:tcPr>
            <w:tcW w:w="1587" w:type="dxa"/>
          </w:tcPr>
          <w:p>
            <w:pPr>
              <w:pStyle w:val="0"/>
              <w:jc w:val="center"/>
            </w:pPr>
            <w:r>
              <w:rPr>
                <w:sz w:val="20"/>
              </w:rPr>
              <w:t xml:space="preserve">54987,8</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7</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1414" w:name="P1414"/>
    <w:bookmarkEnd w:id="1414"/>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 И ВНОВЬ</w:t>
      </w:r>
    </w:p>
    <w:p>
      <w:pPr>
        <w:pStyle w:val="2"/>
        <w:jc w:val="center"/>
      </w:pPr>
      <w:r>
        <w:rPr>
          <w:sz w:val="20"/>
        </w:rPr>
        <w:t xml:space="preserve">ПРИНИМАЕМЫХ ОБЯЗАТЕЛЬСТВ ВЛАДИМИРСКОЙ ОБЛАСТИ ПО ГЛАВНЫМ</w:t>
      </w:r>
    </w:p>
    <w:p>
      <w:pPr>
        <w:pStyle w:val="2"/>
        <w:jc w:val="center"/>
      </w:pPr>
      <w:r>
        <w:rPr>
          <w:sz w:val="20"/>
        </w:rPr>
        <w:t xml:space="preserve">РАСПОРЯДИТЕЛЯМ СРЕДСТВ ОБЛАСТНОГО БЮДЖЕТА НА 2023 ГОД</w:t>
      </w:r>
    </w:p>
    <w:p>
      <w:pPr>
        <w:pStyle w:val="2"/>
        <w:jc w:val="center"/>
      </w:pPr>
      <w:r>
        <w:rPr>
          <w:sz w:val="20"/>
        </w:rPr>
        <w:t xml:space="preserve">И НА ПЛАНОВЫЙ ПЕРИОД 2024 И 2025 ГОДОВ</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374"/>
        <w:gridCol w:w="1304"/>
        <w:gridCol w:w="1374"/>
        <w:gridCol w:w="1374"/>
        <w:gridCol w:w="1304"/>
        <w:gridCol w:w="1374"/>
        <w:gridCol w:w="1374"/>
        <w:gridCol w:w="1304"/>
        <w:gridCol w:w="1376"/>
      </w:tblGrid>
      <w:tr>
        <w:tc>
          <w:tcPr>
            <w:tcW w:w="1417" w:type="dxa"/>
            <w:vMerge w:val="restart"/>
          </w:tcPr>
          <w:p>
            <w:pPr>
              <w:pStyle w:val="0"/>
              <w:jc w:val="center"/>
            </w:pPr>
            <w:r>
              <w:rPr>
                <w:sz w:val="20"/>
              </w:rPr>
              <w:t xml:space="preserve">Направление главного распорядителя средств областного бюджета</w:t>
            </w:r>
          </w:p>
        </w:tc>
        <w:tc>
          <w:tcPr>
            <w:gridSpan w:val="9"/>
            <w:tcW w:w="12158" w:type="dxa"/>
          </w:tcPr>
          <w:p>
            <w:pPr>
              <w:pStyle w:val="0"/>
              <w:jc w:val="center"/>
            </w:pPr>
            <w:r>
              <w:rPr>
                <w:sz w:val="20"/>
              </w:rPr>
              <w:t xml:space="preserve">Предельные объемы в тыс. рублей</w:t>
            </w:r>
          </w:p>
        </w:tc>
      </w:tr>
      <w:tr>
        <w:tc>
          <w:tcPr>
            <w:vMerge w:val="continue"/>
          </w:tcPr>
          <w:p/>
        </w:tc>
        <w:tc>
          <w:tcPr>
            <w:gridSpan w:val="3"/>
            <w:tcW w:w="4052" w:type="dxa"/>
          </w:tcPr>
          <w:p>
            <w:pPr>
              <w:pStyle w:val="0"/>
              <w:jc w:val="center"/>
            </w:pPr>
            <w:r>
              <w:rPr>
                <w:sz w:val="20"/>
              </w:rPr>
              <w:t xml:space="preserve">2023 год</w:t>
            </w:r>
          </w:p>
        </w:tc>
        <w:tc>
          <w:tcPr>
            <w:gridSpan w:val="3"/>
            <w:tcW w:w="4052" w:type="dxa"/>
          </w:tcPr>
          <w:p>
            <w:pPr>
              <w:pStyle w:val="0"/>
              <w:jc w:val="center"/>
            </w:pPr>
            <w:r>
              <w:rPr>
                <w:sz w:val="20"/>
              </w:rPr>
              <w:t xml:space="preserve">2024 год</w:t>
            </w:r>
          </w:p>
        </w:tc>
        <w:tc>
          <w:tcPr>
            <w:gridSpan w:val="3"/>
            <w:tcW w:w="4054" w:type="dxa"/>
          </w:tcPr>
          <w:p>
            <w:pPr>
              <w:pStyle w:val="0"/>
              <w:jc w:val="center"/>
            </w:pPr>
            <w:r>
              <w:rPr>
                <w:sz w:val="20"/>
              </w:rPr>
              <w:t xml:space="preserve">2025 год</w:t>
            </w:r>
          </w:p>
        </w:tc>
      </w:tr>
      <w:tr>
        <w:tc>
          <w:tcPr>
            <w:vMerge w:val="continue"/>
          </w:tcPr>
          <w:p/>
        </w:tc>
        <w:tc>
          <w:tcPr>
            <w:tcW w:w="1374"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374" w:type="dxa"/>
          </w:tcPr>
          <w:p>
            <w:pPr>
              <w:pStyle w:val="0"/>
              <w:jc w:val="center"/>
            </w:pPr>
            <w:r>
              <w:rPr>
                <w:sz w:val="20"/>
              </w:rPr>
              <w:t xml:space="preserve">всего</w:t>
            </w:r>
          </w:p>
        </w:tc>
        <w:tc>
          <w:tcPr>
            <w:tcW w:w="1374"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374" w:type="dxa"/>
          </w:tcPr>
          <w:p>
            <w:pPr>
              <w:pStyle w:val="0"/>
              <w:jc w:val="center"/>
            </w:pPr>
            <w:r>
              <w:rPr>
                <w:sz w:val="20"/>
              </w:rPr>
              <w:t xml:space="preserve">всего</w:t>
            </w:r>
          </w:p>
        </w:tc>
        <w:tc>
          <w:tcPr>
            <w:tcW w:w="1374"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376" w:type="dxa"/>
          </w:tcPr>
          <w:p>
            <w:pPr>
              <w:pStyle w:val="0"/>
              <w:jc w:val="center"/>
            </w:pPr>
            <w:r>
              <w:rPr>
                <w:sz w:val="20"/>
              </w:rPr>
              <w:t xml:space="preserve">всего</w:t>
            </w:r>
          </w:p>
        </w:tc>
      </w:tr>
      <w:tr>
        <w:tc>
          <w:tcPr>
            <w:tcW w:w="1417" w:type="dxa"/>
          </w:tcPr>
          <w:p>
            <w:pPr>
              <w:pStyle w:val="0"/>
            </w:pPr>
            <w:r>
              <w:rPr>
                <w:sz w:val="20"/>
              </w:rPr>
              <w:t xml:space="preserve">Законодательное Собрание Владимирской области</w:t>
            </w:r>
          </w:p>
        </w:tc>
        <w:tc>
          <w:tcPr>
            <w:tcW w:w="1374" w:type="dxa"/>
          </w:tcPr>
          <w:p>
            <w:pPr>
              <w:pStyle w:val="0"/>
              <w:jc w:val="center"/>
            </w:pPr>
            <w:r>
              <w:rPr>
                <w:sz w:val="20"/>
              </w:rPr>
              <w:t xml:space="preserve">139545,3</w:t>
            </w:r>
          </w:p>
        </w:tc>
        <w:tc>
          <w:tcPr>
            <w:tcW w:w="1304" w:type="dxa"/>
          </w:tcPr>
          <w:p>
            <w:pPr>
              <w:pStyle w:val="0"/>
              <w:jc w:val="center"/>
            </w:pPr>
            <w:r>
              <w:rPr>
                <w:sz w:val="20"/>
              </w:rPr>
              <w:t xml:space="preserve">35843,5</w:t>
            </w:r>
          </w:p>
        </w:tc>
        <w:tc>
          <w:tcPr>
            <w:tcW w:w="1374" w:type="dxa"/>
          </w:tcPr>
          <w:p>
            <w:pPr>
              <w:pStyle w:val="0"/>
              <w:jc w:val="center"/>
            </w:pPr>
            <w:r>
              <w:rPr>
                <w:sz w:val="20"/>
              </w:rPr>
              <w:t xml:space="preserve">175388,8</w:t>
            </w:r>
          </w:p>
        </w:tc>
        <w:tc>
          <w:tcPr>
            <w:tcW w:w="1374" w:type="dxa"/>
          </w:tcPr>
          <w:p>
            <w:pPr>
              <w:pStyle w:val="0"/>
              <w:jc w:val="center"/>
            </w:pPr>
            <w:r>
              <w:rPr>
                <w:sz w:val="20"/>
              </w:rPr>
              <w:t xml:space="preserve">139545,3</w:t>
            </w:r>
          </w:p>
        </w:tc>
        <w:tc>
          <w:tcPr>
            <w:tcW w:w="1304" w:type="dxa"/>
          </w:tcPr>
          <w:p>
            <w:pPr>
              <w:pStyle w:val="0"/>
              <w:jc w:val="center"/>
            </w:pPr>
            <w:r>
              <w:rPr>
                <w:sz w:val="20"/>
              </w:rPr>
              <w:t xml:space="preserve">35843,5</w:t>
            </w:r>
          </w:p>
        </w:tc>
        <w:tc>
          <w:tcPr>
            <w:tcW w:w="1374" w:type="dxa"/>
          </w:tcPr>
          <w:p>
            <w:pPr>
              <w:pStyle w:val="0"/>
              <w:jc w:val="center"/>
            </w:pPr>
            <w:r>
              <w:rPr>
                <w:sz w:val="20"/>
              </w:rPr>
              <w:t xml:space="preserve">175388,8</w:t>
            </w:r>
          </w:p>
        </w:tc>
        <w:tc>
          <w:tcPr>
            <w:tcW w:w="1374" w:type="dxa"/>
          </w:tcPr>
          <w:p>
            <w:pPr>
              <w:pStyle w:val="0"/>
              <w:jc w:val="center"/>
            </w:pPr>
            <w:r>
              <w:rPr>
                <w:sz w:val="20"/>
              </w:rPr>
              <w:t xml:space="preserve">139545,3</w:t>
            </w:r>
          </w:p>
        </w:tc>
        <w:tc>
          <w:tcPr>
            <w:tcW w:w="1304" w:type="dxa"/>
          </w:tcPr>
          <w:p>
            <w:pPr>
              <w:pStyle w:val="0"/>
              <w:jc w:val="center"/>
            </w:pPr>
            <w:r>
              <w:rPr>
                <w:sz w:val="20"/>
              </w:rPr>
              <w:t xml:space="preserve">35843,5</w:t>
            </w:r>
          </w:p>
        </w:tc>
        <w:tc>
          <w:tcPr>
            <w:tcW w:w="1376" w:type="dxa"/>
          </w:tcPr>
          <w:p>
            <w:pPr>
              <w:pStyle w:val="0"/>
              <w:jc w:val="center"/>
            </w:pPr>
            <w:r>
              <w:rPr>
                <w:sz w:val="20"/>
              </w:rPr>
              <w:t xml:space="preserve">175388,8</w:t>
            </w:r>
          </w:p>
        </w:tc>
      </w:tr>
      <w:tr>
        <w:tc>
          <w:tcPr>
            <w:tcW w:w="1417" w:type="dxa"/>
          </w:tcPr>
          <w:p>
            <w:pPr>
              <w:pStyle w:val="0"/>
            </w:pPr>
            <w:r>
              <w:rPr>
                <w:sz w:val="20"/>
              </w:rPr>
              <w:t xml:space="preserve">Администрация Владимирской области</w:t>
            </w:r>
          </w:p>
        </w:tc>
        <w:tc>
          <w:tcPr>
            <w:tcW w:w="1374" w:type="dxa"/>
          </w:tcPr>
          <w:p>
            <w:pPr>
              <w:pStyle w:val="0"/>
              <w:jc w:val="center"/>
            </w:pPr>
            <w:r>
              <w:rPr>
                <w:sz w:val="20"/>
              </w:rPr>
              <w:t xml:space="preserve">650879,2</w:t>
            </w:r>
          </w:p>
        </w:tc>
        <w:tc>
          <w:tcPr>
            <w:tcW w:w="1304" w:type="dxa"/>
          </w:tcPr>
          <w:p>
            <w:pPr>
              <w:pStyle w:val="0"/>
              <w:jc w:val="center"/>
            </w:pPr>
            <w:r>
              <w:rPr>
                <w:sz w:val="20"/>
              </w:rPr>
              <w:t xml:space="preserve">114621,2</w:t>
            </w:r>
          </w:p>
        </w:tc>
        <w:tc>
          <w:tcPr>
            <w:tcW w:w="1374" w:type="dxa"/>
          </w:tcPr>
          <w:p>
            <w:pPr>
              <w:pStyle w:val="0"/>
              <w:jc w:val="center"/>
            </w:pPr>
            <w:r>
              <w:rPr>
                <w:sz w:val="20"/>
              </w:rPr>
              <w:t xml:space="preserve">765500,4</w:t>
            </w:r>
          </w:p>
        </w:tc>
        <w:tc>
          <w:tcPr>
            <w:tcW w:w="1374" w:type="dxa"/>
          </w:tcPr>
          <w:p>
            <w:pPr>
              <w:pStyle w:val="0"/>
              <w:jc w:val="center"/>
            </w:pPr>
            <w:r>
              <w:rPr>
                <w:sz w:val="20"/>
              </w:rPr>
              <w:t xml:space="preserve">547991,4</w:t>
            </w:r>
          </w:p>
        </w:tc>
        <w:tc>
          <w:tcPr>
            <w:tcW w:w="1304" w:type="dxa"/>
          </w:tcPr>
          <w:p>
            <w:pPr>
              <w:pStyle w:val="0"/>
              <w:jc w:val="center"/>
            </w:pPr>
            <w:r>
              <w:rPr>
                <w:sz w:val="20"/>
              </w:rPr>
              <w:t xml:space="preserve">114621,2</w:t>
            </w:r>
          </w:p>
        </w:tc>
        <w:tc>
          <w:tcPr>
            <w:tcW w:w="1374" w:type="dxa"/>
          </w:tcPr>
          <w:p>
            <w:pPr>
              <w:pStyle w:val="0"/>
              <w:jc w:val="center"/>
            </w:pPr>
            <w:r>
              <w:rPr>
                <w:sz w:val="20"/>
              </w:rPr>
              <w:t xml:space="preserve">662612,6</w:t>
            </w:r>
          </w:p>
        </w:tc>
        <w:tc>
          <w:tcPr>
            <w:tcW w:w="1374" w:type="dxa"/>
          </w:tcPr>
          <w:p>
            <w:pPr>
              <w:pStyle w:val="0"/>
              <w:jc w:val="center"/>
            </w:pPr>
            <w:r>
              <w:rPr>
                <w:sz w:val="20"/>
              </w:rPr>
              <w:t xml:space="preserve">547991,4</w:t>
            </w:r>
          </w:p>
        </w:tc>
        <w:tc>
          <w:tcPr>
            <w:tcW w:w="1304" w:type="dxa"/>
          </w:tcPr>
          <w:p>
            <w:pPr>
              <w:pStyle w:val="0"/>
              <w:jc w:val="center"/>
            </w:pPr>
            <w:r>
              <w:rPr>
                <w:sz w:val="20"/>
              </w:rPr>
              <w:t xml:space="preserve">114621,2</w:t>
            </w:r>
          </w:p>
        </w:tc>
        <w:tc>
          <w:tcPr>
            <w:tcW w:w="1376" w:type="dxa"/>
          </w:tcPr>
          <w:p>
            <w:pPr>
              <w:pStyle w:val="0"/>
              <w:jc w:val="center"/>
            </w:pPr>
            <w:r>
              <w:rPr>
                <w:sz w:val="20"/>
              </w:rPr>
              <w:t xml:space="preserve">662612,6</w:t>
            </w:r>
          </w:p>
        </w:tc>
      </w:tr>
      <w:tr>
        <w:tc>
          <w:tcPr>
            <w:tcW w:w="1417" w:type="dxa"/>
          </w:tcPr>
          <w:p>
            <w:pPr>
              <w:pStyle w:val="0"/>
            </w:pPr>
            <w:r>
              <w:rPr>
                <w:sz w:val="20"/>
              </w:rPr>
              <w:t xml:space="preserve">Департамент региональной политики Владимирской области</w:t>
            </w:r>
          </w:p>
        </w:tc>
        <w:tc>
          <w:tcPr>
            <w:tcW w:w="1374" w:type="dxa"/>
          </w:tcPr>
          <w:p>
            <w:pPr>
              <w:pStyle w:val="0"/>
              <w:jc w:val="center"/>
            </w:pPr>
            <w:r>
              <w:rPr>
                <w:sz w:val="20"/>
              </w:rPr>
              <w:t xml:space="preserve">123345,9</w:t>
            </w:r>
          </w:p>
        </w:tc>
        <w:tc>
          <w:tcPr>
            <w:tcW w:w="1304" w:type="dxa"/>
          </w:tcPr>
          <w:p>
            <w:pPr>
              <w:pStyle w:val="0"/>
              <w:jc w:val="center"/>
            </w:pPr>
            <w:r>
              <w:rPr>
                <w:sz w:val="20"/>
              </w:rPr>
              <w:t xml:space="preserve">3651,3</w:t>
            </w:r>
          </w:p>
        </w:tc>
        <w:tc>
          <w:tcPr>
            <w:tcW w:w="1374" w:type="dxa"/>
          </w:tcPr>
          <w:p>
            <w:pPr>
              <w:pStyle w:val="0"/>
              <w:jc w:val="center"/>
            </w:pPr>
            <w:r>
              <w:rPr>
                <w:sz w:val="20"/>
              </w:rPr>
              <w:t xml:space="preserve">126997,2</w:t>
            </w:r>
          </w:p>
        </w:tc>
        <w:tc>
          <w:tcPr>
            <w:tcW w:w="1374" w:type="dxa"/>
          </w:tcPr>
          <w:p>
            <w:pPr>
              <w:pStyle w:val="0"/>
              <w:jc w:val="center"/>
            </w:pPr>
            <w:r>
              <w:rPr>
                <w:sz w:val="20"/>
              </w:rPr>
              <w:t xml:space="preserve">123312,9</w:t>
            </w:r>
          </w:p>
        </w:tc>
        <w:tc>
          <w:tcPr>
            <w:tcW w:w="1304" w:type="dxa"/>
          </w:tcPr>
          <w:p>
            <w:pPr>
              <w:pStyle w:val="0"/>
              <w:jc w:val="center"/>
            </w:pPr>
            <w:r>
              <w:rPr>
                <w:sz w:val="20"/>
              </w:rPr>
              <w:t xml:space="preserve">3651,3</w:t>
            </w:r>
          </w:p>
        </w:tc>
        <w:tc>
          <w:tcPr>
            <w:tcW w:w="1374" w:type="dxa"/>
          </w:tcPr>
          <w:p>
            <w:pPr>
              <w:pStyle w:val="0"/>
              <w:jc w:val="center"/>
            </w:pPr>
            <w:r>
              <w:rPr>
                <w:sz w:val="20"/>
              </w:rPr>
              <w:t xml:space="preserve">126964,2</w:t>
            </w:r>
          </w:p>
        </w:tc>
        <w:tc>
          <w:tcPr>
            <w:tcW w:w="1374" w:type="dxa"/>
          </w:tcPr>
          <w:p>
            <w:pPr>
              <w:pStyle w:val="0"/>
              <w:jc w:val="center"/>
            </w:pPr>
            <w:r>
              <w:rPr>
                <w:sz w:val="20"/>
              </w:rPr>
              <w:t xml:space="preserve">123312,9</w:t>
            </w:r>
          </w:p>
        </w:tc>
        <w:tc>
          <w:tcPr>
            <w:tcW w:w="1304" w:type="dxa"/>
          </w:tcPr>
          <w:p>
            <w:pPr>
              <w:pStyle w:val="0"/>
              <w:jc w:val="center"/>
            </w:pPr>
            <w:r>
              <w:rPr>
                <w:sz w:val="20"/>
              </w:rPr>
              <w:t xml:space="preserve">3651,3</w:t>
            </w:r>
          </w:p>
        </w:tc>
        <w:tc>
          <w:tcPr>
            <w:tcW w:w="1376" w:type="dxa"/>
          </w:tcPr>
          <w:p>
            <w:pPr>
              <w:pStyle w:val="0"/>
              <w:jc w:val="center"/>
            </w:pPr>
            <w:r>
              <w:rPr>
                <w:sz w:val="20"/>
              </w:rPr>
              <w:t xml:space="preserve">126964,2</w:t>
            </w:r>
          </w:p>
        </w:tc>
      </w:tr>
      <w:tr>
        <w:tc>
          <w:tcPr>
            <w:tcW w:w="1417" w:type="dxa"/>
          </w:tcPr>
          <w:p>
            <w:pPr>
              <w:pStyle w:val="0"/>
            </w:pPr>
            <w:r>
              <w:rPr>
                <w:sz w:val="20"/>
              </w:rPr>
              <w:t xml:space="preserve">Счетная палата Владимирской области</w:t>
            </w:r>
          </w:p>
        </w:tc>
        <w:tc>
          <w:tcPr>
            <w:tcW w:w="1374" w:type="dxa"/>
          </w:tcPr>
          <w:p>
            <w:pPr>
              <w:pStyle w:val="0"/>
              <w:jc w:val="center"/>
            </w:pPr>
            <w:r>
              <w:rPr>
                <w:sz w:val="20"/>
              </w:rPr>
              <w:t xml:space="preserve">57716,5</w:t>
            </w:r>
          </w:p>
        </w:tc>
        <w:tc>
          <w:tcPr>
            <w:tcW w:w="1304" w:type="dxa"/>
          </w:tcPr>
          <w:p>
            <w:pPr>
              <w:pStyle w:val="0"/>
              <w:jc w:val="center"/>
            </w:pPr>
            <w:r>
              <w:rPr>
                <w:sz w:val="20"/>
              </w:rPr>
              <w:t xml:space="preserve">19628,7</w:t>
            </w:r>
          </w:p>
        </w:tc>
        <w:tc>
          <w:tcPr>
            <w:tcW w:w="1374" w:type="dxa"/>
          </w:tcPr>
          <w:p>
            <w:pPr>
              <w:pStyle w:val="0"/>
              <w:jc w:val="center"/>
            </w:pPr>
            <w:r>
              <w:rPr>
                <w:sz w:val="20"/>
              </w:rPr>
              <w:t xml:space="preserve">77345,2</w:t>
            </w:r>
          </w:p>
        </w:tc>
        <w:tc>
          <w:tcPr>
            <w:tcW w:w="1374" w:type="dxa"/>
          </w:tcPr>
          <w:p>
            <w:pPr>
              <w:pStyle w:val="0"/>
              <w:jc w:val="center"/>
            </w:pPr>
            <w:r>
              <w:rPr>
                <w:sz w:val="20"/>
              </w:rPr>
              <w:t xml:space="preserve">57716,5</w:t>
            </w:r>
          </w:p>
        </w:tc>
        <w:tc>
          <w:tcPr>
            <w:tcW w:w="1304" w:type="dxa"/>
          </w:tcPr>
          <w:p>
            <w:pPr>
              <w:pStyle w:val="0"/>
              <w:jc w:val="center"/>
            </w:pPr>
            <w:r>
              <w:rPr>
                <w:sz w:val="20"/>
              </w:rPr>
              <w:t xml:space="preserve">19628,7</w:t>
            </w:r>
          </w:p>
        </w:tc>
        <w:tc>
          <w:tcPr>
            <w:tcW w:w="1374" w:type="dxa"/>
          </w:tcPr>
          <w:p>
            <w:pPr>
              <w:pStyle w:val="0"/>
              <w:jc w:val="center"/>
            </w:pPr>
            <w:r>
              <w:rPr>
                <w:sz w:val="20"/>
              </w:rPr>
              <w:t xml:space="preserve">77345,2</w:t>
            </w:r>
          </w:p>
        </w:tc>
        <w:tc>
          <w:tcPr>
            <w:tcW w:w="1374" w:type="dxa"/>
          </w:tcPr>
          <w:p>
            <w:pPr>
              <w:pStyle w:val="0"/>
              <w:jc w:val="center"/>
            </w:pPr>
            <w:r>
              <w:rPr>
                <w:sz w:val="20"/>
              </w:rPr>
              <w:t xml:space="preserve">57716,5</w:t>
            </w:r>
          </w:p>
        </w:tc>
        <w:tc>
          <w:tcPr>
            <w:tcW w:w="1304" w:type="dxa"/>
          </w:tcPr>
          <w:p>
            <w:pPr>
              <w:pStyle w:val="0"/>
              <w:jc w:val="center"/>
            </w:pPr>
            <w:r>
              <w:rPr>
                <w:sz w:val="20"/>
              </w:rPr>
              <w:t xml:space="preserve">19628,7</w:t>
            </w:r>
          </w:p>
        </w:tc>
        <w:tc>
          <w:tcPr>
            <w:tcW w:w="1376" w:type="dxa"/>
          </w:tcPr>
          <w:p>
            <w:pPr>
              <w:pStyle w:val="0"/>
              <w:jc w:val="center"/>
            </w:pPr>
            <w:r>
              <w:rPr>
                <w:sz w:val="20"/>
              </w:rPr>
              <w:t xml:space="preserve">77345,2</w:t>
            </w:r>
          </w:p>
        </w:tc>
      </w:tr>
      <w:tr>
        <w:tc>
          <w:tcPr>
            <w:tcW w:w="1417" w:type="dxa"/>
          </w:tcPr>
          <w:p>
            <w:pPr>
              <w:pStyle w:val="0"/>
            </w:pPr>
            <w:r>
              <w:rPr>
                <w:sz w:val="20"/>
              </w:rPr>
              <w:t xml:space="preserve">Избирательная комиссия Владимирской области</w:t>
            </w:r>
          </w:p>
        </w:tc>
        <w:tc>
          <w:tcPr>
            <w:tcW w:w="1374" w:type="dxa"/>
          </w:tcPr>
          <w:p>
            <w:pPr>
              <w:pStyle w:val="0"/>
              <w:jc w:val="center"/>
            </w:pPr>
            <w:r>
              <w:rPr>
                <w:sz w:val="20"/>
              </w:rPr>
              <w:t xml:space="preserve">233140,5</w:t>
            </w:r>
          </w:p>
        </w:tc>
        <w:tc>
          <w:tcPr>
            <w:tcW w:w="1304" w:type="dxa"/>
          </w:tcPr>
          <w:p>
            <w:pPr>
              <w:pStyle w:val="0"/>
              <w:jc w:val="center"/>
            </w:pPr>
            <w:r>
              <w:rPr>
                <w:sz w:val="20"/>
              </w:rPr>
              <w:t xml:space="preserve">28710,0</w:t>
            </w:r>
          </w:p>
        </w:tc>
        <w:tc>
          <w:tcPr>
            <w:tcW w:w="1374" w:type="dxa"/>
          </w:tcPr>
          <w:p>
            <w:pPr>
              <w:pStyle w:val="0"/>
              <w:jc w:val="center"/>
            </w:pPr>
            <w:r>
              <w:rPr>
                <w:sz w:val="20"/>
              </w:rPr>
              <w:t xml:space="preserve">261850,5</w:t>
            </w:r>
          </w:p>
        </w:tc>
        <w:tc>
          <w:tcPr>
            <w:tcW w:w="1374" w:type="dxa"/>
          </w:tcPr>
          <w:p>
            <w:pPr>
              <w:pStyle w:val="0"/>
              <w:jc w:val="center"/>
            </w:pPr>
            <w:r>
              <w:rPr>
                <w:sz w:val="20"/>
              </w:rPr>
              <w:t xml:space="preserve">65892,2</w:t>
            </w:r>
          </w:p>
        </w:tc>
        <w:tc>
          <w:tcPr>
            <w:tcW w:w="1304" w:type="dxa"/>
          </w:tcPr>
          <w:p>
            <w:pPr>
              <w:pStyle w:val="0"/>
              <w:jc w:val="center"/>
            </w:pPr>
            <w:r>
              <w:rPr>
                <w:sz w:val="20"/>
              </w:rPr>
              <w:t xml:space="preserve">28710,0</w:t>
            </w:r>
          </w:p>
        </w:tc>
        <w:tc>
          <w:tcPr>
            <w:tcW w:w="1374" w:type="dxa"/>
          </w:tcPr>
          <w:p>
            <w:pPr>
              <w:pStyle w:val="0"/>
              <w:jc w:val="center"/>
            </w:pPr>
            <w:r>
              <w:rPr>
                <w:sz w:val="20"/>
              </w:rPr>
              <w:t xml:space="preserve">94602,2</w:t>
            </w:r>
          </w:p>
        </w:tc>
        <w:tc>
          <w:tcPr>
            <w:tcW w:w="1374" w:type="dxa"/>
          </w:tcPr>
          <w:p>
            <w:pPr>
              <w:pStyle w:val="0"/>
              <w:jc w:val="center"/>
            </w:pPr>
            <w:r>
              <w:rPr>
                <w:sz w:val="20"/>
              </w:rPr>
              <w:t xml:space="preserve">65892,2</w:t>
            </w:r>
          </w:p>
        </w:tc>
        <w:tc>
          <w:tcPr>
            <w:tcW w:w="1304" w:type="dxa"/>
          </w:tcPr>
          <w:p>
            <w:pPr>
              <w:pStyle w:val="0"/>
              <w:jc w:val="center"/>
            </w:pPr>
            <w:r>
              <w:rPr>
                <w:sz w:val="20"/>
              </w:rPr>
              <w:t xml:space="preserve">28710,0</w:t>
            </w:r>
          </w:p>
        </w:tc>
        <w:tc>
          <w:tcPr>
            <w:tcW w:w="1376" w:type="dxa"/>
          </w:tcPr>
          <w:p>
            <w:pPr>
              <w:pStyle w:val="0"/>
              <w:jc w:val="center"/>
            </w:pPr>
            <w:r>
              <w:rPr>
                <w:sz w:val="20"/>
              </w:rPr>
              <w:t xml:space="preserve">94602,2</w:t>
            </w:r>
          </w:p>
        </w:tc>
      </w:tr>
      <w:tr>
        <w:tc>
          <w:tcPr>
            <w:tcW w:w="1417" w:type="dxa"/>
          </w:tcPr>
          <w:p>
            <w:pPr>
              <w:pStyle w:val="0"/>
            </w:pPr>
            <w:r>
              <w:rPr>
                <w:sz w:val="20"/>
              </w:rPr>
              <w:t xml:space="preserve">Департамент регионального развития Владимирской области</w:t>
            </w:r>
          </w:p>
        </w:tc>
        <w:tc>
          <w:tcPr>
            <w:tcW w:w="1374" w:type="dxa"/>
          </w:tcPr>
          <w:p>
            <w:pPr>
              <w:pStyle w:val="0"/>
              <w:jc w:val="center"/>
            </w:pPr>
            <w:r>
              <w:rPr>
                <w:sz w:val="20"/>
              </w:rPr>
              <w:t xml:space="preserve">236279,4</w:t>
            </w:r>
          </w:p>
        </w:tc>
        <w:tc>
          <w:tcPr>
            <w:tcW w:w="1304" w:type="dxa"/>
          </w:tcPr>
          <w:p>
            <w:pPr>
              <w:pStyle w:val="0"/>
              <w:jc w:val="center"/>
            </w:pPr>
            <w:r>
              <w:rPr>
                <w:sz w:val="20"/>
              </w:rPr>
              <w:t xml:space="preserve">32566,5</w:t>
            </w:r>
          </w:p>
        </w:tc>
        <w:tc>
          <w:tcPr>
            <w:tcW w:w="1374" w:type="dxa"/>
          </w:tcPr>
          <w:p>
            <w:pPr>
              <w:pStyle w:val="0"/>
              <w:jc w:val="center"/>
            </w:pPr>
            <w:r>
              <w:rPr>
                <w:sz w:val="20"/>
              </w:rPr>
              <w:t xml:space="preserve">268845,9</w:t>
            </w:r>
          </w:p>
        </w:tc>
        <w:tc>
          <w:tcPr>
            <w:tcW w:w="1374" w:type="dxa"/>
          </w:tcPr>
          <w:p>
            <w:pPr>
              <w:pStyle w:val="0"/>
              <w:jc w:val="center"/>
            </w:pPr>
            <w:r>
              <w:rPr>
                <w:sz w:val="20"/>
              </w:rPr>
              <w:t xml:space="preserve">236279,4</w:t>
            </w:r>
          </w:p>
        </w:tc>
        <w:tc>
          <w:tcPr>
            <w:tcW w:w="1304" w:type="dxa"/>
          </w:tcPr>
          <w:p>
            <w:pPr>
              <w:pStyle w:val="0"/>
              <w:jc w:val="center"/>
            </w:pPr>
            <w:r>
              <w:rPr>
                <w:sz w:val="20"/>
              </w:rPr>
              <w:t xml:space="preserve">32566,5</w:t>
            </w:r>
          </w:p>
        </w:tc>
        <w:tc>
          <w:tcPr>
            <w:tcW w:w="1374" w:type="dxa"/>
          </w:tcPr>
          <w:p>
            <w:pPr>
              <w:pStyle w:val="0"/>
              <w:jc w:val="center"/>
            </w:pPr>
            <w:r>
              <w:rPr>
                <w:sz w:val="20"/>
              </w:rPr>
              <w:t xml:space="preserve">268845,9</w:t>
            </w:r>
          </w:p>
        </w:tc>
        <w:tc>
          <w:tcPr>
            <w:tcW w:w="1374" w:type="dxa"/>
          </w:tcPr>
          <w:p>
            <w:pPr>
              <w:pStyle w:val="0"/>
              <w:jc w:val="center"/>
            </w:pPr>
            <w:r>
              <w:rPr>
                <w:sz w:val="20"/>
              </w:rPr>
              <w:t xml:space="preserve">236279,4</w:t>
            </w:r>
          </w:p>
        </w:tc>
        <w:tc>
          <w:tcPr>
            <w:tcW w:w="1304" w:type="dxa"/>
          </w:tcPr>
          <w:p>
            <w:pPr>
              <w:pStyle w:val="0"/>
              <w:jc w:val="center"/>
            </w:pPr>
            <w:r>
              <w:rPr>
                <w:sz w:val="20"/>
              </w:rPr>
              <w:t xml:space="preserve">16642,6</w:t>
            </w:r>
          </w:p>
        </w:tc>
        <w:tc>
          <w:tcPr>
            <w:tcW w:w="1376" w:type="dxa"/>
          </w:tcPr>
          <w:p>
            <w:pPr>
              <w:pStyle w:val="0"/>
              <w:jc w:val="center"/>
            </w:pPr>
            <w:r>
              <w:rPr>
                <w:sz w:val="20"/>
              </w:rPr>
              <w:t xml:space="preserve">252922,0</w:t>
            </w:r>
          </w:p>
        </w:tc>
      </w:tr>
      <w:tr>
        <w:tc>
          <w:tcPr>
            <w:tcW w:w="1417" w:type="dxa"/>
          </w:tcPr>
          <w:p>
            <w:pPr>
              <w:pStyle w:val="0"/>
            </w:pPr>
            <w:r>
              <w:rPr>
                <w:sz w:val="20"/>
              </w:rPr>
              <w:t xml:space="preserve">Департамент транспорта и дорожного хозяйства Владимирской области</w:t>
            </w:r>
          </w:p>
        </w:tc>
        <w:tc>
          <w:tcPr>
            <w:tcW w:w="1374" w:type="dxa"/>
          </w:tcPr>
          <w:p>
            <w:pPr>
              <w:pStyle w:val="0"/>
              <w:jc w:val="center"/>
            </w:pPr>
            <w:r>
              <w:rPr>
                <w:sz w:val="20"/>
              </w:rPr>
              <w:t xml:space="preserve">9183644,9</w:t>
            </w:r>
          </w:p>
        </w:tc>
        <w:tc>
          <w:tcPr>
            <w:tcW w:w="1304" w:type="dxa"/>
          </w:tcPr>
          <w:p>
            <w:pPr>
              <w:pStyle w:val="0"/>
              <w:jc w:val="center"/>
            </w:pPr>
            <w:r>
              <w:rPr>
                <w:sz w:val="20"/>
              </w:rPr>
              <w:t xml:space="preserve">41716,6</w:t>
            </w:r>
          </w:p>
        </w:tc>
        <w:tc>
          <w:tcPr>
            <w:tcW w:w="1374" w:type="dxa"/>
          </w:tcPr>
          <w:p>
            <w:pPr>
              <w:pStyle w:val="0"/>
              <w:jc w:val="center"/>
            </w:pPr>
            <w:r>
              <w:rPr>
                <w:sz w:val="20"/>
              </w:rPr>
              <w:t xml:space="preserve">9225361,5</w:t>
            </w:r>
          </w:p>
        </w:tc>
        <w:tc>
          <w:tcPr>
            <w:tcW w:w="1374" w:type="dxa"/>
          </w:tcPr>
          <w:p>
            <w:pPr>
              <w:pStyle w:val="0"/>
              <w:jc w:val="center"/>
            </w:pPr>
            <w:r>
              <w:rPr>
                <w:sz w:val="20"/>
              </w:rPr>
              <w:t xml:space="preserve">9162684,7</w:t>
            </w:r>
          </w:p>
        </w:tc>
        <w:tc>
          <w:tcPr>
            <w:tcW w:w="1304" w:type="dxa"/>
          </w:tcPr>
          <w:p>
            <w:pPr>
              <w:pStyle w:val="0"/>
              <w:jc w:val="center"/>
            </w:pPr>
            <w:r>
              <w:rPr>
                <w:sz w:val="20"/>
              </w:rPr>
              <w:t xml:space="preserve">41716,6</w:t>
            </w:r>
          </w:p>
        </w:tc>
        <w:tc>
          <w:tcPr>
            <w:tcW w:w="1374" w:type="dxa"/>
          </w:tcPr>
          <w:p>
            <w:pPr>
              <w:pStyle w:val="0"/>
              <w:jc w:val="center"/>
            </w:pPr>
            <w:r>
              <w:rPr>
                <w:sz w:val="20"/>
              </w:rPr>
              <w:t xml:space="preserve">9204401,3</w:t>
            </w:r>
          </w:p>
        </w:tc>
        <w:tc>
          <w:tcPr>
            <w:tcW w:w="1374" w:type="dxa"/>
          </w:tcPr>
          <w:p>
            <w:pPr>
              <w:pStyle w:val="0"/>
              <w:jc w:val="center"/>
            </w:pPr>
            <w:r>
              <w:rPr>
                <w:sz w:val="20"/>
              </w:rPr>
              <w:t xml:space="preserve">8681476,1</w:t>
            </w:r>
          </w:p>
        </w:tc>
        <w:tc>
          <w:tcPr>
            <w:tcW w:w="1304" w:type="dxa"/>
          </w:tcPr>
          <w:p>
            <w:pPr>
              <w:pStyle w:val="0"/>
              <w:jc w:val="center"/>
            </w:pPr>
            <w:r>
              <w:rPr>
                <w:sz w:val="20"/>
              </w:rPr>
              <w:t xml:space="preserve">41716,6</w:t>
            </w:r>
          </w:p>
        </w:tc>
        <w:tc>
          <w:tcPr>
            <w:tcW w:w="1376" w:type="dxa"/>
          </w:tcPr>
          <w:p>
            <w:pPr>
              <w:pStyle w:val="0"/>
              <w:jc w:val="center"/>
            </w:pPr>
            <w:r>
              <w:rPr>
                <w:sz w:val="20"/>
              </w:rPr>
              <w:t xml:space="preserve">8723192,7</w:t>
            </w:r>
          </w:p>
        </w:tc>
      </w:tr>
      <w:tr>
        <w:tc>
          <w:tcPr>
            <w:tcW w:w="1417" w:type="dxa"/>
          </w:tcPr>
          <w:p>
            <w:pPr>
              <w:pStyle w:val="0"/>
            </w:pPr>
            <w:r>
              <w:rPr>
                <w:sz w:val="20"/>
              </w:rPr>
              <w:t xml:space="preserve">Департамент юстиции Владимирской области</w:t>
            </w:r>
          </w:p>
        </w:tc>
        <w:tc>
          <w:tcPr>
            <w:tcW w:w="1374" w:type="dxa"/>
          </w:tcPr>
          <w:p>
            <w:pPr>
              <w:pStyle w:val="0"/>
              <w:jc w:val="center"/>
            </w:pPr>
            <w:r>
              <w:rPr>
                <w:sz w:val="20"/>
              </w:rPr>
              <w:t xml:space="preserve">360945,3</w:t>
            </w:r>
          </w:p>
        </w:tc>
        <w:tc>
          <w:tcPr>
            <w:tcW w:w="1304" w:type="dxa"/>
          </w:tcPr>
          <w:p>
            <w:pPr>
              <w:pStyle w:val="0"/>
              <w:jc w:val="center"/>
            </w:pPr>
            <w:r>
              <w:rPr>
                <w:sz w:val="20"/>
              </w:rPr>
              <w:t xml:space="preserve">86325,1</w:t>
            </w:r>
          </w:p>
        </w:tc>
        <w:tc>
          <w:tcPr>
            <w:tcW w:w="1374" w:type="dxa"/>
          </w:tcPr>
          <w:p>
            <w:pPr>
              <w:pStyle w:val="0"/>
              <w:jc w:val="center"/>
            </w:pPr>
            <w:r>
              <w:rPr>
                <w:sz w:val="20"/>
              </w:rPr>
              <w:t xml:space="preserve">447270,4</w:t>
            </w:r>
          </w:p>
        </w:tc>
        <w:tc>
          <w:tcPr>
            <w:tcW w:w="1374" w:type="dxa"/>
          </w:tcPr>
          <w:p>
            <w:pPr>
              <w:pStyle w:val="0"/>
              <w:jc w:val="center"/>
            </w:pPr>
            <w:r>
              <w:rPr>
                <w:sz w:val="20"/>
              </w:rPr>
              <w:t xml:space="preserve">363404,5</w:t>
            </w:r>
          </w:p>
        </w:tc>
        <w:tc>
          <w:tcPr>
            <w:tcW w:w="1304" w:type="dxa"/>
          </w:tcPr>
          <w:p>
            <w:pPr>
              <w:pStyle w:val="0"/>
              <w:jc w:val="center"/>
            </w:pPr>
            <w:r>
              <w:rPr>
                <w:sz w:val="20"/>
              </w:rPr>
              <w:t xml:space="preserve">86325,1</w:t>
            </w:r>
          </w:p>
        </w:tc>
        <w:tc>
          <w:tcPr>
            <w:tcW w:w="1374" w:type="dxa"/>
          </w:tcPr>
          <w:p>
            <w:pPr>
              <w:pStyle w:val="0"/>
              <w:jc w:val="center"/>
            </w:pPr>
            <w:r>
              <w:rPr>
                <w:sz w:val="20"/>
              </w:rPr>
              <w:t xml:space="preserve">449729,6</w:t>
            </w:r>
          </w:p>
        </w:tc>
        <w:tc>
          <w:tcPr>
            <w:tcW w:w="1374" w:type="dxa"/>
          </w:tcPr>
          <w:p>
            <w:pPr>
              <w:pStyle w:val="0"/>
              <w:jc w:val="center"/>
            </w:pPr>
            <w:r>
              <w:rPr>
                <w:sz w:val="20"/>
              </w:rPr>
              <w:t xml:space="preserve">353736,5</w:t>
            </w:r>
          </w:p>
        </w:tc>
        <w:tc>
          <w:tcPr>
            <w:tcW w:w="1304" w:type="dxa"/>
          </w:tcPr>
          <w:p>
            <w:pPr>
              <w:pStyle w:val="0"/>
              <w:jc w:val="center"/>
            </w:pPr>
            <w:r>
              <w:rPr>
                <w:sz w:val="20"/>
              </w:rPr>
              <w:t xml:space="preserve">86325,1</w:t>
            </w:r>
          </w:p>
        </w:tc>
        <w:tc>
          <w:tcPr>
            <w:tcW w:w="1376" w:type="dxa"/>
          </w:tcPr>
          <w:p>
            <w:pPr>
              <w:pStyle w:val="0"/>
              <w:jc w:val="center"/>
            </w:pPr>
            <w:r>
              <w:rPr>
                <w:sz w:val="20"/>
              </w:rPr>
              <w:t xml:space="preserve">440061,6</w:t>
            </w:r>
          </w:p>
        </w:tc>
      </w:tr>
      <w:tr>
        <w:tc>
          <w:tcPr>
            <w:tcW w:w="1417" w:type="dxa"/>
          </w:tcPr>
          <w:p>
            <w:pPr>
              <w:pStyle w:val="0"/>
            </w:pPr>
            <w:r>
              <w:rPr>
                <w:sz w:val="20"/>
              </w:rPr>
              <w:t xml:space="preserve">Инспекция государственного строительного надзора Владимирской области</w:t>
            </w:r>
          </w:p>
        </w:tc>
        <w:tc>
          <w:tcPr>
            <w:tcW w:w="1374" w:type="dxa"/>
          </w:tcPr>
          <w:p>
            <w:pPr>
              <w:pStyle w:val="0"/>
              <w:jc w:val="center"/>
            </w:pPr>
            <w:r>
              <w:rPr>
                <w:sz w:val="20"/>
              </w:rPr>
              <w:t xml:space="preserve">22540,2</w:t>
            </w:r>
          </w:p>
        </w:tc>
        <w:tc>
          <w:tcPr>
            <w:tcW w:w="1304" w:type="dxa"/>
          </w:tcPr>
          <w:p>
            <w:pPr>
              <w:pStyle w:val="0"/>
              <w:jc w:val="center"/>
            </w:pPr>
            <w:r>
              <w:rPr>
                <w:sz w:val="20"/>
              </w:rPr>
              <w:t xml:space="preserve">9763,3</w:t>
            </w:r>
          </w:p>
        </w:tc>
        <w:tc>
          <w:tcPr>
            <w:tcW w:w="1374" w:type="dxa"/>
          </w:tcPr>
          <w:p>
            <w:pPr>
              <w:pStyle w:val="0"/>
              <w:jc w:val="center"/>
            </w:pPr>
            <w:r>
              <w:rPr>
                <w:sz w:val="20"/>
              </w:rPr>
              <w:t xml:space="preserve">32303,5</w:t>
            </w:r>
          </w:p>
        </w:tc>
        <w:tc>
          <w:tcPr>
            <w:tcW w:w="1374" w:type="dxa"/>
          </w:tcPr>
          <w:p>
            <w:pPr>
              <w:pStyle w:val="0"/>
              <w:jc w:val="center"/>
            </w:pPr>
            <w:r>
              <w:rPr>
                <w:sz w:val="20"/>
              </w:rPr>
              <w:t xml:space="preserve">22540,2</w:t>
            </w:r>
          </w:p>
        </w:tc>
        <w:tc>
          <w:tcPr>
            <w:tcW w:w="1304" w:type="dxa"/>
          </w:tcPr>
          <w:p>
            <w:pPr>
              <w:pStyle w:val="0"/>
              <w:jc w:val="center"/>
            </w:pPr>
            <w:r>
              <w:rPr>
                <w:sz w:val="20"/>
              </w:rPr>
              <w:t xml:space="preserve">9763,3</w:t>
            </w:r>
          </w:p>
        </w:tc>
        <w:tc>
          <w:tcPr>
            <w:tcW w:w="1374" w:type="dxa"/>
          </w:tcPr>
          <w:p>
            <w:pPr>
              <w:pStyle w:val="0"/>
              <w:jc w:val="center"/>
            </w:pPr>
            <w:r>
              <w:rPr>
                <w:sz w:val="20"/>
              </w:rPr>
              <w:t xml:space="preserve">32303,5</w:t>
            </w:r>
          </w:p>
        </w:tc>
        <w:tc>
          <w:tcPr>
            <w:tcW w:w="1374" w:type="dxa"/>
          </w:tcPr>
          <w:p>
            <w:pPr>
              <w:pStyle w:val="0"/>
              <w:jc w:val="center"/>
            </w:pPr>
            <w:r>
              <w:rPr>
                <w:sz w:val="20"/>
              </w:rPr>
              <w:t xml:space="preserve">22540,2</w:t>
            </w:r>
          </w:p>
        </w:tc>
        <w:tc>
          <w:tcPr>
            <w:tcW w:w="1304" w:type="dxa"/>
          </w:tcPr>
          <w:p>
            <w:pPr>
              <w:pStyle w:val="0"/>
              <w:jc w:val="center"/>
            </w:pPr>
            <w:r>
              <w:rPr>
                <w:sz w:val="20"/>
              </w:rPr>
              <w:t xml:space="preserve">9763,3</w:t>
            </w:r>
          </w:p>
        </w:tc>
        <w:tc>
          <w:tcPr>
            <w:tcW w:w="1376" w:type="dxa"/>
          </w:tcPr>
          <w:p>
            <w:pPr>
              <w:pStyle w:val="0"/>
              <w:jc w:val="center"/>
            </w:pPr>
            <w:r>
              <w:rPr>
                <w:sz w:val="20"/>
              </w:rPr>
              <w:t xml:space="preserve">32303,5</w:t>
            </w:r>
          </w:p>
        </w:tc>
      </w:tr>
      <w:tr>
        <w:tc>
          <w:tcPr>
            <w:tcW w:w="1417" w:type="dxa"/>
          </w:tcPr>
          <w:p>
            <w:pPr>
              <w:pStyle w:val="0"/>
            </w:pPr>
            <w:r>
              <w:rPr>
                <w:sz w:val="20"/>
              </w:rPr>
              <w:t xml:space="preserve">Департамент архитектуры и строительства Владимирской области</w:t>
            </w:r>
          </w:p>
        </w:tc>
        <w:tc>
          <w:tcPr>
            <w:tcW w:w="1374" w:type="dxa"/>
          </w:tcPr>
          <w:p>
            <w:pPr>
              <w:pStyle w:val="0"/>
              <w:jc w:val="center"/>
            </w:pPr>
            <w:r>
              <w:rPr>
                <w:sz w:val="20"/>
              </w:rPr>
              <w:t xml:space="preserve">5893962,2</w:t>
            </w:r>
          </w:p>
        </w:tc>
        <w:tc>
          <w:tcPr>
            <w:tcW w:w="1304" w:type="dxa"/>
          </w:tcPr>
          <w:p>
            <w:pPr>
              <w:pStyle w:val="0"/>
              <w:jc w:val="center"/>
            </w:pPr>
            <w:r>
              <w:rPr>
                <w:sz w:val="20"/>
              </w:rPr>
              <w:t xml:space="preserve">12043,1</w:t>
            </w:r>
          </w:p>
        </w:tc>
        <w:tc>
          <w:tcPr>
            <w:tcW w:w="1374" w:type="dxa"/>
          </w:tcPr>
          <w:p>
            <w:pPr>
              <w:pStyle w:val="0"/>
              <w:jc w:val="center"/>
            </w:pPr>
            <w:r>
              <w:rPr>
                <w:sz w:val="20"/>
              </w:rPr>
              <w:t xml:space="preserve">5906005,3</w:t>
            </w:r>
          </w:p>
        </w:tc>
        <w:tc>
          <w:tcPr>
            <w:tcW w:w="1374" w:type="dxa"/>
          </w:tcPr>
          <w:p>
            <w:pPr>
              <w:pStyle w:val="0"/>
              <w:jc w:val="center"/>
            </w:pPr>
            <w:r>
              <w:rPr>
                <w:sz w:val="20"/>
              </w:rPr>
              <w:t xml:space="preserve">2030582,2</w:t>
            </w:r>
          </w:p>
        </w:tc>
        <w:tc>
          <w:tcPr>
            <w:tcW w:w="1304" w:type="dxa"/>
          </w:tcPr>
          <w:p>
            <w:pPr>
              <w:pStyle w:val="0"/>
              <w:jc w:val="center"/>
            </w:pPr>
            <w:r>
              <w:rPr>
                <w:sz w:val="20"/>
              </w:rPr>
              <w:t xml:space="preserve">12043,1</w:t>
            </w:r>
          </w:p>
        </w:tc>
        <w:tc>
          <w:tcPr>
            <w:tcW w:w="1374" w:type="dxa"/>
          </w:tcPr>
          <w:p>
            <w:pPr>
              <w:pStyle w:val="0"/>
              <w:jc w:val="center"/>
            </w:pPr>
            <w:r>
              <w:rPr>
                <w:sz w:val="20"/>
              </w:rPr>
              <w:t xml:space="preserve">2042625,3</w:t>
            </w:r>
          </w:p>
        </w:tc>
        <w:tc>
          <w:tcPr>
            <w:tcW w:w="1374" w:type="dxa"/>
          </w:tcPr>
          <w:p>
            <w:pPr>
              <w:pStyle w:val="0"/>
              <w:jc w:val="center"/>
            </w:pPr>
            <w:r>
              <w:rPr>
                <w:sz w:val="20"/>
              </w:rPr>
              <w:t xml:space="preserve">748477,5</w:t>
            </w:r>
          </w:p>
        </w:tc>
        <w:tc>
          <w:tcPr>
            <w:tcW w:w="1304" w:type="dxa"/>
          </w:tcPr>
          <w:p>
            <w:pPr>
              <w:pStyle w:val="0"/>
              <w:jc w:val="center"/>
            </w:pPr>
            <w:r>
              <w:rPr>
                <w:sz w:val="20"/>
              </w:rPr>
              <w:t xml:space="preserve">12043,1</w:t>
            </w:r>
          </w:p>
        </w:tc>
        <w:tc>
          <w:tcPr>
            <w:tcW w:w="1376" w:type="dxa"/>
          </w:tcPr>
          <w:p>
            <w:pPr>
              <w:pStyle w:val="0"/>
              <w:jc w:val="center"/>
            </w:pPr>
            <w:r>
              <w:rPr>
                <w:sz w:val="20"/>
              </w:rPr>
              <w:t xml:space="preserve">760520,6</w:t>
            </w:r>
          </w:p>
        </w:tc>
      </w:tr>
      <w:tr>
        <w:tc>
          <w:tcPr>
            <w:tcW w:w="1417" w:type="dxa"/>
          </w:tcPr>
          <w:p>
            <w:pPr>
              <w:pStyle w:val="0"/>
            </w:pPr>
            <w:r>
              <w:rPr>
                <w:sz w:val="20"/>
              </w:rPr>
              <w:t xml:space="preserve">Департамент жилищно-коммунального хозяйства Владимирской области</w:t>
            </w:r>
          </w:p>
        </w:tc>
        <w:tc>
          <w:tcPr>
            <w:tcW w:w="1374" w:type="dxa"/>
          </w:tcPr>
          <w:p>
            <w:pPr>
              <w:pStyle w:val="0"/>
              <w:jc w:val="center"/>
            </w:pPr>
            <w:r>
              <w:rPr>
                <w:sz w:val="20"/>
              </w:rPr>
              <w:t xml:space="preserve">3544927,5</w:t>
            </w:r>
          </w:p>
        </w:tc>
        <w:tc>
          <w:tcPr>
            <w:tcW w:w="1304" w:type="dxa"/>
          </w:tcPr>
          <w:p>
            <w:pPr>
              <w:pStyle w:val="0"/>
              <w:jc w:val="center"/>
            </w:pPr>
            <w:r>
              <w:rPr>
                <w:sz w:val="20"/>
              </w:rPr>
              <w:t xml:space="preserve">13352,8</w:t>
            </w:r>
          </w:p>
        </w:tc>
        <w:tc>
          <w:tcPr>
            <w:tcW w:w="1374" w:type="dxa"/>
          </w:tcPr>
          <w:p>
            <w:pPr>
              <w:pStyle w:val="0"/>
              <w:jc w:val="center"/>
            </w:pPr>
            <w:r>
              <w:rPr>
                <w:sz w:val="20"/>
              </w:rPr>
              <w:t xml:space="preserve">3558280,3</w:t>
            </w:r>
          </w:p>
        </w:tc>
        <w:tc>
          <w:tcPr>
            <w:tcW w:w="1374" w:type="dxa"/>
          </w:tcPr>
          <w:p>
            <w:pPr>
              <w:pStyle w:val="0"/>
              <w:jc w:val="center"/>
            </w:pPr>
            <w:r>
              <w:rPr>
                <w:sz w:val="20"/>
              </w:rPr>
              <w:t xml:space="preserve">1639332,1</w:t>
            </w:r>
          </w:p>
        </w:tc>
        <w:tc>
          <w:tcPr>
            <w:tcW w:w="1304" w:type="dxa"/>
          </w:tcPr>
          <w:p>
            <w:pPr>
              <w:pStyle w:val="0"/>
              <w:jc w:val="center"/>
            </w:pPr>
            <w:r>
              <w:rPr>
                <w:sz w:val="20"/>
              </w:rPr>
              <w:t xml:space="preserve">13352,8</w:t>
            </w:r>
          </w:p>
        </w:tc>
        <w:tc>
          <w:tcPr>
            <w:tcW w:w="1374" w:type="dxa"/>
          </w:tcPr>
          <w:p>
            <w:pPr>
              <w:pStyle w:val="0"/>
              <w:jc w:val="center"/>
            </w:pPr>
            <w:r>
              <w:rPr>
                <w:sz w:val="20"/>
              </w:rPr>
              <w:t xml:space="preserve">1652684,9</w:t>
            </w:r>
          </w:p>
        </w:tc>
        <w:tc>
          <w:tcPr>
            <w:tcW w:w="1374" w:type="dxa"/>
          </w:tcPr>
          <w:p>
            <w:pPr>
              <w:pStyle w:val="0"/>
              <w:jc w:val="center"/>
            </w:pPr>
            <w:r>
              <w:rPr>
                <w:sz w:val="20"/>
              </w:rPr>
              <w:t xml:space="preserve">2367952,3</w:t>
            </w:r>
          </w:p>
        </w:tc>
        <w:tc>
          <w:tcPr>
            <w:tcW w:w="1304" w:type="dxa"/>
          </w:tcPr>
          <w:p>
            <w:pPr>
              <w:pStyle w:val="0"/>
              <w:jc w:val="center"/>
            </w:pPr>
            <w:r>
              <w:rPr>
                <w:sz w:val="20"/>
              </w:rPr>
              <w:t xml:space="preserve">13352,8</w:t>
            </w:r>
          </w:p>
        </w:tc>
        <w:tc>
          <w:tcPr>
            <w:tcW w:w="1376" w:type="dxa"/>
          </w:tcPr>
          <w:p>
            <w:pPr>
              <w:pStyle w:val="0"/>
              <w:jc w:val="center"/>
            </w:pPr>
            <w:r>
              <w:rPr>
                <w:sz w:val="20"/>
              </w:rPr>
              <w:t xml:space="preserve">2381305,1</w:t>
            </w:r>
          </w:p>
        </w:tc>
      </w:tr>
      <w:tr>
        <w:tc>
          <w:tcPr>
            <w:tcW w:w="1417" w:type="dxa"/>
          </w:tcPr>
          <w:p>
            <w:pPr>
              <w:pStyle w:val="0"/>
            </w:pPr>
            <w:r>
              <w:rPr>
                <w:sz w:val="20"/>
              </w:rPr>
              <w:t xml:space="preserve">Инспекция государственного жилищного надзора Владимирской области</w:t>
            </w:r>
          </w:p>
        </w:tc>
        <w:tc>
          <w:tcPr>
            <w:tcW w:w="1374" w:type="dxa"/>
          </w:tcPr>
          <w:p>
            <w:pPr>
              <w:pStyle w:val="0"/>
              <w:jc w:val="center"/>
            </w:pPr>
            <w:r>
              <w:rPr>
                <w:sz w:val="20"/>
              </w:rPr>
              <w:t xml:space="preserve">38727,3</w:t>
            </w:r>
          </w:p>
        </w:tc>
        <w:tc>
          <w:tcPr>
            <w:tcW w:w="1304" w:type="dxa"/>
          </w:tcPr>
          <w:p>
            <w:pPr>
              <w:pStyle w:val="0"/>
              <w:jc w:val="center"/>
            </w:pPr>
            <w:r>
              <w:rPr>
                <w:sz w:val="20"/>
              </w:rPr>
              <w:t xml:space="preserve">16940,5</w:t>
            </w:r>
          </w:p>
        </w:tc>
        <w:tc>
          <w:tcPr>
            <w:tcW w:w="1374" w:type="dxa"/>
          </w:tcPr>
          <w:p>
            <w:pPr>
              <w:pStyle w:val="0"/>
              <w:jc w:val="center"/>
            </w:pPr>
            <w:r>
              <w:rPr>
                <w:sz w:val="20"/>
              </w:rPr>
              <w:t xml:space="preserve">55667,8</w:t>
            </w:r>
          </w:p>
        </w:tc>
        <w:tc>
          <w:tcPr>
            <w:tcW w:w="1374" w:type="dxa"/>
          </w:tcPr>
          <w:p>
            <w:pPr>
              <w:pStyle w:val="0"/>
              <w:jc w:val="center"/>
            </w:pPr>
            <w:r>
              <w:rPr>
                <w:sz w:val="20"/>
              </w:rPr>
              <w:t xml:space="preserve">38727,3</w:t>
            </w:r>
          </w:p>
        </w:tc>
        <w:tc>
          <w:tcPr>
            <w:tcW w:w="1304" w:type="dxa"/>
          </w:tcPr>
          <w:p>
            <w:pPr>
              <w:pStyle w:val="0"/>
              <w:jc w:val="center"/>
            </w:pPr>
            <w:r>
              <w:rPr>
                <w:sz w:val="20"/>
              </w:rPr>
              <w:t xml:space="preserve">16940,5</w:t>
            </w:r>
          </w:p>
        </w:tc>
        <w:tc>
          <w:tcPr>
            <w:tcW w:w="1374" w:type="dxa"/>
          </w:tcPr>
          <w:p>
            <w:pPr>
              <w:pStyle w:val="0"/>
              <w:jc w:val="center"/>
            </w:pPr>
            <w:r>
              <w:rPr>
                <w:sz w:val="20"/>
              </w:rPr>
              <w:t xml:space="preserve">55667,8</w:t>
            </w:r>
          </w:p>
        </w:tc>
        <w:tc>
          <w:tcPr>
            <w:tcW w:w="1374" w:type="dxa"/>
          </w:tcPr>
          <w:p>
            <w:pPr>
              <w:pStyle w:val="0"/>
              <w:jc w:val="center"/>
            </w:pPr>
            <w:r>
              <w:rPr>
                <w:sz w:val="20"/>
              </w:rPr>
              <w:t xml:space="preserve">38727,3</w:t>
            </w:r>
          </w:p>
        </w:tc>
        <w:tc>
          <w:tcPr>
            <w:tcW w:w="1304" w:type="dxa"/>
          </w:tcPr>
          <w:p>
            <w:pPr>
              <w:pStyle w:val="0"/>
              <w:jc w:val="center"/>
            </w:pPr>
            <w:r>
              <w:rPr>
                <w:sz w:val="20"/>
              </w:rPr>
              <w:t xml:space="preserve">16940,5</w:t>
            </w:r>
          </w:p>
        </w:tc>
        <w:tc>
          <w:tcPr>
            <w:tcW w:w="1376" w:type="dxa"/>
          </w:tcPr>
          <w:p>
            <w:pPr>
              <w:pStyle w:val="0"/>
              <w:jc w:val="center"/>
            </w:pPr>
            <w:r>
              <w:rPr>
                <w:sz w:val="20"/>
              </w:rPr>
              <w:t xml:space="preserve">55667,8</w:t>
            </w:r>
          </w:p>
        </w:tc>
      </w:tr>
      <w:tr>
        <w:tc>
          <w:tcPr>
            <w:tcW w:w="1417" w:type="dxa"/>
          </w:tcPr>
          <w:p>
            <w:pPr>
              <w:pStyle w:val="0"/>
            </w:pPr>
            <w:r>
              <w:rPr>
                <w:sz w:val="20"/>
              </w:rPr>
              <w:t xml:space="preserve">Департамент государственного регулирования цен и тарифов Владимирской области</w:t>
            </w:r>
          </w:p>
        </w:tc>
        <w:tc>
          <w:tcPr>
            <w:tcW w:w="1374" w:type="dxa"/>
          </w:tcPr>
          <w:p>
            <w:pPr>
              <w:pStyle w:val="0"/>
              <w:jc w:val="center"/>
            </w:pPr>
            <w:r>
              <w:rPr>
                <w:sz w:val="20"/>
              </w:rPr>
              <w:t xml:space="preserve">42748,3</w:t>
            </w:r>
          </w:p>
        </w:tc>
        <w:tc>
          <w:tcPr>
            <w:tcW w:w="1304" w:type="dxa"/>
          </w:tcPr>
          <w:p>
            <w:pPr>
              <w:pStyle w:val="0"/>
              <w:jc w:val="center"/>
            </w:pPr>
            <w:r>
              <w:rPr>
                <w:sz w:val="20"/>
              </w:rPr>
              <w:t xml:space="preserve">19091,3</w:t>
            </w:r>
          </w:p>
        </w:tc>
        <w:tc>
          <w:tcPr>
            <w:tcW w:w="1374" w:type="dxa"/>
          </w:tcPr>
          <w:p>
            <w:pPr>
              <w:pStyle w:val="0"/>
              <w:jc w:val="center"/>
            </w:pPr>
            <w:r>
              <w:rPr>
                <w:sz w:val="20"/>
              </w:rPr>
              <w:t xml:space="preserve">61839,6</w:t>
            </w:r>
          </w:p>
        </w:tc>
        <w:tc>
          <w:tcPr>
            <w:tcW w:w="1374" w:type="dxa"/>
          </w:tcPr>
          <w:p>
            <w:pPr>
              <w:pStyle w:val="0"/>
              <w:jc w:val="center"/>
            </w:pPr>
            <w:r>
              <w:rPr>
                <w:sz w:val="20"/>
              </w:rPr>
              <w:t xml:space="preserve">42748,3</w:t>
            </w:r>
          </w:p>
        </w:tc>
        <w:tc>
          <w:tcPr>
            <w:tcW w:w="1304" w:type="dxa"/>
          </w:tcPr>
          <w:p>
            <w:pPr>
              <w:pStyle w:val="0"/>
              <w:jc w:val="center"/>
            </w:pPr>
            <w:r>
              <w:rPr>
                <w:sz w:val="20"/>
              </w:rPr>
              <w:t xml:space="preserve">19091,3</w:t>
            </w:r>
          </w:p>
        </w:tc>
        <w:tc>
          <w:tcPr>
            <w:tcW w:w="1374" w:type="dxa"/>
          </w:tcPr>
          <w:p>
            <w:pPr>
              <w:pStyle w:val="0"/>
              <w:jc w:val="center"/>
            </w:pPr>
            <w:r>
              <w:rPr>
                <w:sz w:val="20"/>
              </w:rPr>
              <w:t xml:space="preserve">61839,6</w:t>
            </w:r>
          </w:p>
        </w:tc>
        <w:tc>
          <w:tcPr>
            <w:tcW w:w="1374" w:type="dxa"/>
          </w:tcPr>
          <w:p>
            <w:pPr>
              <w:pStyle w:val="0"/>
              <w:jc w:val="center"/>
            </w:pPr>
            <w:r>
              <w:rPr>
                <w:sz w:val="20"/>
              </w:rPr>
              <w:t xml:space="preserve">42748,3</w:t>
            </w:r>
          </w:p>
        </w:tc>
        <w:tc>
          <w:tcPr>
            <w:tcW w:w="1304" w:type="dxa"/>
          </w:tcPr>
          <w:p>
            <w:pPr>
              <w:pStyle w:val="0"/>
              <w:jc w:val="center"/>
            </w:pPr>
            <w:r>
              <w:rPr>
                <w:sz w:val="20"/>
              </w:rPr>
              <w:t xml:space="preserve">19091,3</w:t>
            </w:r>
          </w:p>
        </w:tc>
        <w:tc>
          <w:tcPr>
            <w:tcW w:w="1376" w:type="dxa"/>
          </w:tcPr>
          <w:p>
            <w:pPr>
              <w:pStyle w:val="0"/>
              <w:jc w:val="center"/>
            </w:pPr>
            <w:r>
              <w:rPr>
                <w:sz w:val="20"/>
              </w:rPr>
              <w:t xml:space="preserve">61839,6</w:t>
            </w:r>
          </w:p>
        </w:tc>
      </w:tr>
      <w:tr>
        <w:tc>
          <w:tcPr>
            <w:tcW w:w="1417" w:type="dxa"/>
          </w:tcPr>
          <w:p>
            <w:pPr>
              <w:pStyle w:val="0"/>
            </w:pPr>
            <w:r>
              <w:rPr>
                <w:sz w:val="20"/>
              </w:rPr>
              <w:t xml:space="preserve">Департамент экономического развития Владимирской области</w:t>
            </w:r>
          </w:p>
        </w:tc>
        <w:tc>
          <w:tcPr>
            <w:tcW w:w="1374" w:type="dxa"/>
          </w:tcPr>
          <w:p>
            <w:pPr>
              <w:pStyle w:val="0"/>
              <w:jc w:val="center"/>
            </w:pPr>
            <w:r>
              <w:rPr>
                <w:sz w:val="20"/>
              </w:rPr>
              <w:t xml:space="preserve">275790,1</w:t>
            </w:r>
          </w:p>
        </w:tc>
        <w:tc>
          <w:tcPr>
            <w:tcW w:w="1304" w:type="dxa"/>
          </w:tcPr>
          <w:p>
            <w:pPr>
              <w:pStyle w:val="0"/>
              <w:jc w:val="center"/>
            </w:pPr>
            <w:r>
              <w:rPr>
                <w:sz w:val="20"/>
              </w:rPr>
              <w:t xml:space="preserve">453791,1</w:t>
            </w:r>
          </w:p>
        </w:tc>
        <w:tc>
          <w:tcPr>
            <w:tcW w:w="1374" w:type="dxa"/>
          </w:tcPr>
          <w:p>
            <w:pPr>
              <w:pStyle w:val="0"/>
              <w:jc w:val="center"/>
            </w:pPr>
            <w:r>
              <w:rPr>
                <w:sz w:val="20"/>
              </w:rPr>
              <w:t xml:space="preserve">729581,2</w:t>
            </w:r>
          </w:p>
        </w:tc>
        <w:tc>
          <w:tcPr>
            <w:tcW w:w="1374" w:type="dxa"/>
          </w:tcPr>
          <w:p>
            <w:pPr>
              <w:pStyle w:val="0"/>
              <w:jc w:val="center"/>
            </w:pPr>
            <w:r>
              <w:rPr>
                <w:sz w:val="20"/>
              </w:rPr>
              <w:t xml:space="preserve">269676,9</w:t>
            </w:r>
          </w:p>
        </w:tc>
        <w:tc>
          <w:tcPr>
            <w:tcW w:w="1304" w:type="dxa"/>
          </w:tcPr>
          <w:p>
            <w:pPr>
              <w:pStyle w:val="0"/>
              <w:jc w:val="center"/>
            </w:pPr>
            <w:r>
              <w:rPr>
                <w:sz w:val="20"/>
              </w:rPr>
              <w:t xml:space="preserve">453791,1</w:t>
            </w:r>
          </w:p>
        </w:tc>
        <w:tc>
          <w:tcPr>
            <w:tcW w:w="1374" w:type="dxa"/>
          </w:tcPr>
          <w:p>
            <w:pPr>
              <w:pStyle w:val="0"/>
              <w:jc w:val="center"/>
            </w:pPr>
            <w:r>
              <w:rPr>
                <w:sz w:val="20"/>
              </w:rPr>
              <w:t xml:space="preserve">723468,0</w:t>
            </w:r>
          </w:p>
        </w:tc>
        <w:tc>
          <w:tcPr>
            <w:tcW w:w="1374" w:type="dxa"/>
          </w:tcPr>
          <w:p>
            <w:pPr>
              <w:pStyle w:val="0"/>
              <w:jc w:val="center"/>
            </w:pPr>
            <w:r>
              <w:rPr>
                <w:sz w:val="20"/>
              </w:rPr>
              <w:t xml:space="preserve">269676,9</w:t>
            </w:r>
          </w:p>
        </w:tc>
        <w:tc>
          <w:tcPr>
            <w:tcW w:w="1304" w:type="dxa"/>
          </w:tcPr>
          <w:p>
            <w:pPr>
              <w:pStyle w:val="0"/>
              <w:jc w:val="center"/>
            </w:pPr>
            <w:r>
              <w:rPr>
                <w:sz w:val="20"/>
              </w:rPr>
              <w:t xml:space="preserve">17121,6</w:t>
            </w:r>
          </w:p>
        </w:tc>
        <w:tc>
          <w:tcPr>
            <w:tcW w:w="1376" w:type="dxa"/>
          </w:tcPr>
          <w:p>
            <w:pPr>
              <w:pStyle w:val="0"/>
              <w:jc w:val="center"/>
            </w:pPr>
            <w:r>
              <w:rPr>
                <w:sz w:val="20"/>
              </w:rPr>
              <w:t xml:space="preserve">286798,5</w:t>
            </w:r>
          </w:p>
        </w:tc>
      </w:tr>
      <w:tr>
        <w:tc>
          <w:tcPr>
            <w:tcW w:w="1417" w:type="dxa"/>
          </w:tcPr>
          <w:p>
            <w:pPr>
              <w:pStyle w:val="0"/>
            </w:pPr>
            <w:r>
              <w:rPr>
                <w:sz w:val="20"/>
              </w:rPr>
              <w:t xml:space="preserve">Департамент предпринимательства Владимирской области</w:t>
            </w:r>
          </w:p>
        </w:tc>
        <w:tc>
          <w:tcPr>
            <w:tcW w:w="1374" w:type="dxa"/>
          </w:tcPr>
          <w:p>
            <w:pPr>
              <w:pStyle w:val="0"/>
              <w:jc w:val="center"/>
            </w:pPr>
            <w:r>
              <w:rPr>
                <w:sz w:val="20"/>
              </w:rPr>
              <w:t xml:space="preserve">235992,2</w:t>
            </w:r>
          </w:p>
        </w:tc>
        <w:tc>
          <w:tcPr>
            <w:tcW w:w="1304" w:type="dxa"/>
          </w:tcPr>
          <w:p>
            <w:pPr>
              <w:pStyle w:val="0"/>
              <w:jc w:val="center"/>
            </w:pPr>
            <w:r>
              <w:rPr>
                <w:sz w:val="20"/>
              </w:rPr>
              <w:t xml:space="preserve">15259,0</w:t>
            </w:r>
          </w:p>
        </w:tc>
        <w:tc>
          <w:tcPr>
            <w:tcW w:w="1374" w:type="dxa"/>
          </w:tcPr>
          <w:p>
            <w:pPr>
              <w:pStyle w:val="0"/>
              <w:jc w:val="center"/>
            </w:pPr>
            <w:r>
              <w:rPr>
                <w:sz w:val="20"/>
              </w:rPr>
              <w:t xml:space="preserve">251251,2</w:t>
            </w:r>
          </w:p>
        </w:tc>
        <w:tc>
          <w:tcPr>
            <w:tcW w:w="1374" w:type="dxa"/>
          </w:tcPr>
          <w:p>
            <w:pPr>
              <w:pStyle w:val="0"/>
              <w:jc w:val="center"/>
            </w:pPr>
            <w:r>
              <w:rPr>
                <w:sz w:val="20"/>
              </w:rPr>
              <w:t xml:space="preserve">223542,7</w:t>
            </w:r>
          </w:p>
        </w:tc>
        <w:tc>
          <w:tcPr>
            <w:tcW w:w="1304" w:type="dxa"/>
          </w:tcPr>
          <w:p>
            <w:pPr>
              <w:pStyle w:val="0"/>
              <w:jc w:val="center"/>
            </w:pPr>
            <w:r>
              <w:rPr>
                <w:sz w:val="20"/>
              </w:rPr>
              <w:t xml:space="preserve">15259,0</w:t>
            </w:r>
          </w:p>
        </w:tc>
        <w:tc>
          <w:tcPr>
            <w:tcW w:w="1374" w:type="dxa"/>
          </w:tcPr>
          <w:p>
            <w:pPr>
              <w:pStyle w:val="0"/>
              <w:jc w:val="center"/>
            </w:pPr>
            <w:r>
              <w:rPr>
                <w:sz w:val="20"/>
              </w:rPr>
              <w:t xml:space="preserve">238801,7</w:t>
            </w:r>
          </w:p>
        </w:tc>
        <w:tc>
          <w:tcPr>
            <w:tcW w:w="1374" w:type="dxa"/>
          </w:tcPr>
          <w:p>
            <w:pPr>
              <w:pStyle w:val="0"/>
              <w:jc w:val="center"/>
            </w:pPr>
            <w:r>
              <w:rPr>
                <w:sz w:val="20"/>
              </w:rPr>
              <w:t xml:space="preserve">223542,7</w:t>
            </w:r>
          </w:p>
        </w:tc>
        <w:tc>
          <w:tcPr>
            <w:tcW w:w="1304" w:type="dxa"/>
          </w:tcPr>
          <w:p>
            <w:pPr>
              <w:pStyle w:val="0"/>
              <w:jc w:val="center"/>
            </w:pPr>
            <w:r>
              <w:rPr>
                <w:sz w:val="20"/>
              </w:rPr>
              <w:t xml:space="preserve">15259,0</w:t>
            </w:r>
          </w:p>
        </w:tc>
        <w:tc>
          <w:tcPr>
            <w:tcW w:w="1376" w:type="dxa"/>
          </w:tcPr>
          <w:p>
            <w:pPr>
              <w:pStyle w:val="0"/>
              <w:jc w:val="center"/>
            </w:pPr>
            <w:r>
              <w:rPr>
                <w:sz w:val="20"/>
              </w:rPr>
              <w:t xml:space="preserve">238801,7</w:t>
            </w:r>
          </w:p>
        </w:tc>
      </w:tr>
      <w:tr>
        <w:tc>
          <w:tcPr>
            <w:tcW w:w="1417" w:type="dxa"/>
          </w:tcPr>
          <w:p>
            <w:pPr>
              <w:pStyle w:val="0"/>
            </w:pPr>
            <w:r>
              <w:rPr>
                <w:sz w:val="20"/>
              </w:rPr>
              <w:t xml:space="preserve">Департамент природопользования и охраны окружающей среды Владимирской области</w:t>
            </w:r>
          </w:p>
        </w:tc>
        <w:tc>
          <w:tcPr>
            <w:tcW w:w="1374" w:type="dxa"/>
          </w:tcPr>
          <w:p>
            <w:pPr>
              <w:pStyle w:val="0"/>
              <w:jc w:val="center"/>
            </w:pPr>
            <w:r>
              <w:rPr>
                <w:sz w:val="20"/>
              </w:rPr>
              <w:t xml:space="preserve">81391,6</w:t>
            </w:r>
          </w:p>
        </w:tc>
        <w:tc>
          <w:tcPr>
            <w:tcW w:w="1304" w:type="dxa"/>
          </w:tcPr>
          <w:p>
            <w:pPr>
              <w:pStyle w:val="0"/>
              <w:jc w:val="center"/>
            </w:pPr>
            <w:r>
              <w:rPr>
                <w:sz w:val="20"/>
              </w:rPr>
              <w:t xml:space="preserve">14563,3</w:t>
            </w:r>
          </w:p>
        </w:tc>
        <w:tc>
          <w:tcPr>
            <w:tcW w:w="1374" w:type="dxa"/>
          </w:tcPr>
          <w:p>
            <w:pPr>
              <w:pStyle w:val="0"/>
              <w:jc w:val="center"/>
            </w:pPr>
            <w:r>
              <w:rPr>
                <w:sz w:val="20"/>
              </w:rPr>
              <w:t xml:space="preserve">95954,9</w:t>
            </w:r>
          </w:p>
        </w:tc>
        <w:tc>
          <w:tcPr>
            <w:tcW w:w="1374" w:type="dxa"/>
          </w:tcPr>
          <w:p>
            <w:pPr>
              <w:pStyle w:val="0"/>
              <w:jc w:val="center"/>
            </w:pPr>
            <w:r>
              <w:rPr>
                <w:sz w:val="20"/>
              </w:rPr>
              <w:t xml:space="preserve">97248,4</w:t>
            </w:r>
          </w:p>
        </w:tc>
        <w:tc>
          <w:tcPr>
            <w:tcW w:w="1304" w:type="dxa"/>
          </w:tcPr>
          <w:p>
            <w:pPr>
              <w:pStyle w:val="0"/>
              <w:jc w:val="center"/>
            </w:pPr>
            <w:r>
              <w:rPr>
                <w:sz w:val="20"/>
              </w:rPr>
              <w:t xml:space="preserve">14563,3</w:t>
            </w:r>
          </w:p>
        </w:tc>
        <w:tc>
          <w:tcPr>
            <w:tcW w:w="1374" w:type="dxa"/>
          </w:tcPr>
          <w:p>
            <w:pPr>
              <w:pStyle w:val="0"/>
              <w:jc w:val="center"/>
            </w:pPr>
            <w:r>
              <w:rPr>
                <w:sz w:val="20"/>
              </w:rPr>
              <w:t xml:space="preserve">111811,7</w:t>
            </w:r>
          </w:p>
        </w:tc>
        <w:tc>
          <w:tcPr>
            <w:tcW w:w="1374" w:type="dxa"/>
          </w:tcPr>
          <w:p>
            <w:pPr>
              <w:pStyle w:val="0"/>
              <w:jc w:val="center"/>
            </w:pPr>
            <w:r>
              <w:rPr>
                <w:sz w:val="20"/>
              </w:rPr>
              <w:t xml:space="preserve">97248,4</w:t>
            </w:r>
          </w:p>
        </w:tc>
        <w:tc>
          <w:tcPr>
            <w:tcW w:w="1304" w:type="dxa"/>
          </w:tcPr>
          <w:p>
            <w:pPr>
              <w:pStyle w:val="0"/>
              <w:jc w:val="center"/>
            </w:pPr>
            <w:r>
              <w:rPr>
                <w:sz w:val="20"/>
              </w:rPr>
              <w:t xml:space="preserve">14563,3</w:t>
            </w:r>
          </w:p>
        </w:tc>
        <w:tc>
          <w:tcPr>
            <w:tcW w:w="1376" w:type="dxa"/>
          </w:tcPr>
          <w:p>
            <w:pPr>
              <w:pStyle w:val="0"/>
              <w:jc w:val="center"/>
            </w:pPr>
            <w:r>
              <w:rPr>
                <w:sz w:val="20"/>
              </w:rPr>
              <w:t xml:space="preserve">111811,7</w:t>
            </w:r>
          </w:p>
        </w:tc>
      </w:tr>
      <w:tr>
        <w:tc>
          <w:tcPr>
            <w:tcW w:w="1417" w:type="dxa"/>
          </w:tcPr>
          <w:p>
            <w:pPr>
              <w:pStyle w:val="0"/>
            </w:pPr>
            <w:r>
              <w:rPr>
                <w:sz w:val="20"/>
              </w:rPr>
              <w:t xml:space="preserve">Департамент труда и занятости населения Владимирской области</w:t>
            </w:r>
          </w:p>
        </w:tc>
        <w:tc>
          <w:tcPr>
            <w:tcW w:w="1374" w:type="dxa"/>
          </w:tcPr>
          <w:p>
            <w:pPr>
              <w:pStyle w:val="0"/>
              <w:jc w:val="center"/>
            </w:pPr>
            <w:r>
              <w:rPr>
                <w:sz w:val="20"/>
              </w:rPr>
              <w:t xml:space="preserve">877508,3</w:t>
            </w:r>
          </w:p>
        </w:tc>
        <w:tc>
          <w:tcPr>
            <w:tcW w:w="1304" w:type="dxa"/>
          </w:tcPr>
          <w:p>
            <w:pPr>
              <w:pStyle w:val="0"/>
              <w:jc w:val="center"/>
            </w:pPr>
            <w:r>
              <w:rPr>
                <w:sz w:val="20"/>
              </w:rPr>
              <w:t xml:space="preserve">40677,2</w:t>
            </w:r>
          </w:p>
        </w:tc>
        <w:tc>
          <w:tcPr>
            <w:tcW w:w="1374" w:type="dxa"/>
          </w:tcPr>
          <w:p>
            <w:pPr>
              <w:pStyle w:val="0"/>
              <w:jc w:val="center"/>
            </w:pPr>
            <w:r>
              <w:rPr>
                <w:sz w:val="20"/>
              </w:rPr>
              <w:t xml:space="preserve">918185,5</w:t>
            </w:r>
          </w:p>
        </w:tc>
        <w:tc>
          <w:tcPr>
            <w:tcW w:w="1374" w:type="dxa"/>
          </w:tcPr>
          <w:p>
            <w:pPr>
              <w:pStyle w:val="0"/>
              <w:jc w:val="center"/>
            </w:pPr>
            <w:r>
              <w:rPr>
                <w:sz w:val="20"/>
              </w:rPr>
              <w:t xml:space="preserve">877508,3</w:t>
            </w:r>
          </w:p>
        </w:tc>
        <w:tc>
          <w:tcPr>
            <w:tcW w:w="1304" w:type="dxa"/>
          </w:tcPr>
          <w:p>
            <w:pPr>
              <w:pStyle w:val="0"/>
              <w:jc w:val="center"/>
            </w:pPr>
            <w:r>
              <w:rPr>
                <w:sz w:val="20"/>
              </w:rPr>
              <w:t xml:space="preserve">40677,2</w:t>
            </w:r>
          </w:p>
        </w:tc>
        <w:tc>
          <w:tcPr>
            <w:tcW w:w="1374" w:type="dxa"/>
          </w:tcPr>
          <w:p>
            <w:pPr>
              <w:pStyle w:val="0"/>
              <w:jc w:val="center"/>
            </w:pPr>
            <w:r>
              <w:rPr>
                <w:sz w:val="20"/>
              </w:rPr>
              <w:t xml:space="preserve">918185,5</w:t>
            </w:r>
          </w:p>
        </w:tc>
        <w:tc>
          <w:tcPr>
            <w:tcW w:w="1374" w:type="dxa"/>
          </w:tcPr>
          <w:p>
            <w:pPr>
              <w:pStyle w:val="0"/>
              <w:jc w:val="center"/>
            </w:pPr>
            <w:r>
              <w:rPr>
                <w:sz w:val="20"/>
              </w:rPr>
              <w:t xml:space="preserve">872008,3</w:t>
            </w:r>
          </w:p>
        </w:tc>
        <w:tc>
          <w:tcPr>
            <w:tcW w:w="1304" w:type="dxa"/>
          </w:tcPr>
          <w:p>
            <w:pPr>
              <w:pStyle w:val="0"/>
              <w:jc w:val="center"/>
            </w:pPr>
            <w:r>
              <w:rPr>
                <w:sz w:val="20"/>
              </w:rPr>
              <w:t xml:space="preserve">40677,2</w:t>
            </w:r>
          </w:p>
        </w:tc>
        <w:tc>
          <w:tcPr>
            <w:tcW w:w="1376" w:type="dxa"/>
          </w:tcPr>
          <w:p>
            <w:pPr>
              <w:pStyle w:val="0"/>
              <w:jc w:val="center"/>
            </w:pPr>
            <w:r>
              <w:rPr>
                <w:sz w:val="20"/>
              </w:rPr>
              <w:t xml:space="preserve">912685,5</w:t>
            </w:r>
          </w:p>
        </w:tc>
      </w:tr>
      <w:tr>
        <w:tc>
          <w:tcPr>
            <w:tcW w:w="1417" w:type="dxa"/>
          </w:tcPr>
          <w:p>
            <w:pPr>
              <w:pStyle w:val="0"/>
            </w:pPr>
            <w:r>
              <w:rPr>
                <w:sz w:val="20"/>
              </w:rPr>
              <w:t xml:space="preserve">Департамент лесного хозяйства Владимирской области</w:t>
            </w:r>
          </w:p>
        </w:tc>
        <w:tc>
          <w:tcPr>
            <w:tcW w:w="1374" w:type="dxa"/>
          </w:tcPr>
          <w:p>
            <w:pPr>
              <w:pStyle w:val="0"/>
              <w:jc w:val="center"/>
            </w:pPr>
            <w:r>
              <w:rPr>
                <w:sz w:val="20"/>
              </w:rPr>
              <w:t xml:space="preserve">499683,9</w:t>
            </w:r>
          </w:p>
        </w:tc>
        <w:tc>
          <w:tcPr>
            <w:tcW w:w="1304" w:type="dxa"/>
          </w:tcPr>
          <w:p>
            <w:pPr>
              <w:pStyle w:val="0"/>
              <w:jc w:val="center"/>
            </w:pPr>
            <w:r>
              <w:rPr>
                <w:sz w:val="20"/>
              </w:rPr>
              <w:t xml:space="preserve">53639,1</w:t>
            </w:r>
          </w:p>
        </w:tc>
        <w:tc>
          <w:tcPr>
            <w:tcW w:w="1374" w:type="dxa"/>
          </w:tcPr>
          <w:p>
            <w:pPr>
              <w:pStyle w:val="0"/>
              <w:jc w:val="center"/>
            </w:pPr>
            <w:r>
              <w:rPr>
                <w:sz w:val="20"/>
              </w:rPr>
              <w:t xml:space="preserve">553323,0</w:t>
            </w:r>
          </w:p>
        </w:tc>
        <w:tc>
          <w:tcPr>
            <w:tcW w:w="1374" w:type="dxa"/>
          </w:tcPr>
          <w:p>
            <w:pPr>
              <w:pStyle w:val="0"/>
              <w:jc w:val="center"/>
            </w:pPr>
            <w:r>
              <w:rPr>
                <w:sz w:val="20"/>
              </w:rPr>
              <w:t xml:space="preserve">551293,7</w:t>
            </w:r>
          </w:p>
        </w:tc>
        <w:tc>
          <w:tcPr>
            <w:tcW w:w="1304" w:type="dxa"/>
          </w:tcPr>
          <w:p>
            <w:pPr>
              <w:pStyle w:val="0"/>
              <w:jc w:val="center"/>
            </w:pPr>
            <w:r>
              <w:rPr>
                <w:sz w:val="20"/>
              </w:rPr>
              <w:t xml:space="preserve">53639,1</w:t>
            </w:r>
          </w:p>
        </w:tc>
        <w:tc>
          <w:tcPr>
            <w:tcW w:w="1374" w:type="dxa"/>
          </w:tcPr>
          <w:p>
            <w:pPr>
              <w:pStyle w:val="0"/>
              <w:jc w:val="center"/>
            </w:pPr>
            <w:r>
              <w:rPr>
                <w:sz w:val="20"/>
              </w:rPr>
              <w:t xml:space="preserve">604932,8</w:t>
            </w:r>
          </w:p>
        </w:tc>
        <w:tc>
          <w:tcPr>
            <w:tcW w:w="1374" w:type="dxa"/>
          </w:tcPr>
          <w:p>
            <w:pPr>
              <w:pStyle w:val="0"/>
              <w:jc w:val="center"/>
            </w:pPr>
            <w:r>
              <w:rPr>
                <w:sz w:val="20"/>
              </w:rPr>
              <w:t xml:space="preserve">551293,7</w:t>
            </w:r>
          </w:p>
        </w:tc>
        <w:tc>
          <w:tcPr>
            <w:tcW w:w="1304" w:type="dxa"/>
          </w:tcPr>
          <w:p>
            <w:pPr>
              <w:pStyle w:val="0"/>
              <w:jc w:val="center"/>
            </w:pPr>
            <w:r>
              <w:rPr>
                <w:sz w:val="20"/>
              </w:rPr>
              <w:t xml:space="preserve">53639,1</w:t>
            </w:r>
          </w:p>
        </w:tc>
        <w:tc>
          <w:tcPr>
            <w:tcW w:w="1376" w:type="dxa"/>
          </w:tcPr>
          <w:p>
            <w:pPr>
              <w:pStyle w:val="0"/>
              <w:jc w:val="center"/>
            </w:pPr>
            <w:r>
              <w:rPr>
                <w:sz w:val="20"/>
              </w:rPr>
              <w:t xml:space="preserve">604932,8</w:t>
            </w:r>
          </w:p>
        </w:tc>
      </w:tr>
      <w:tr>
        <w:tc>
          <w:tcPr>
            <w:tcW w:w="1417" w:type="dxa"/>
          </w:tcPr>
          <w:p>
            <w:pPr>
              <w:pStyle w:val="0"/>
            </w:pPr>
            <w:r>
              <w:rPr>
                <w:sz w:val="20"/>
              </w:rPr>
              <w:t xml:space="preserve">Департамент здравоохранения Владимирской области</w:t>
            </w:r>
          </w:p>
        </w:tc>
        <w:tc>
          <w:tcPr>
            <w:tcW w:w="1374" w:type="dxa"/>
          </w:tcPr>
          <w:p>
            <w:pPr>
              <w:pStyle w:val="0"/>
              <w:jc w:val="center"/>
            </w:pPr>
            <w:r>
              <w:rPr>
                <w:sz w:val="20"/>
              </w:rPr>
              <w:t xml:space="preserve">13996755,9</w:t>
            </w:r>
          </w:p>
        </w:tc>
        <w:tc>
          <w:tcPr>
            <w:tcW w:w="1304" w:type="dxa"/>
          </w:tcPr>
          <w:p>
            <w:pPr>
              <w:pStyle w:val="0"/>
              <w:jc w:val="center"/>
            </w:pPr>
            <w:r>
              <w:rPr>
                <w:sz w:val="20"/>
              </w:rPr>
              <w:t xml:space="preserve">1134773,8</w:t>
            </w:r>
          </w:p>
        </w:tc>
        <w:tc>
          <w:tcPr>
            <w:tcW w:w="1374" w:type="dxa"/>
          </w:tcPr>
          <w:p>
            <w:pPr>
              <w:pStyle w:val="0"/>
              <w:jc w:val="center"/>
            </w:pPr>
            <w:r>
              <w:rPr>
                <w:sz w:val="20"/>
              </w:rPr>
              <w:t xml:space="preserve">15131529,7</w:t>
            </w:r>
          </w:p>
        </w:tc>
        <w:tc>
          <w:tcPr>
            <w:tcW w:w="1374" w:type="dxa"/>
          </w:tcPr>
          <w:p>
            <w:pPr>
              <w:pStyle w:val="0"/>
              <w:jc w:val="center"/>
            </w:pPr>
            <w:r>
              <w:rPr>
                <w:sz w:val="20"/>
              </w:rPr>
              <w:t xml:space="preserve">14037966,4</w:t>
            </w:r>
          </w:p>
        </w:tc>
        <w:tc>
          <w:tcPr>
            <w:tcW w:w="1304" w:type="dxa"/>
          </w:tcPr>
          <w:p>
            <w:pPr>
              <w:pStyle w:val="0"/>
              <w:jc w:val="center"/>
            </w:pPr>
            <w:r>
              <w:rPr>
                <w:sz w:val="20"/>
              </w:rPr>
              <w:t xml:space="preserve">1134773,8</w:t>
            </w:r>
          </w:p>
        </w:tc>
        <w:tc>
          <w:tcPr>
            <w:tcW w:w="1374" w:type="dxa"/>
          </w:tcPr>
          <w:p>
            <w:pPr>
              <w:pStyle w:val="0"/>
              <w:jc w:val="center"/>
            </w:pPr>
            <w:r>
              <w:rPr>
                <w:sz w:val="20"/>
              </w:rPr>
              <w:t xml:space="preserve">15172740,2</w:t>
            </w:r>
          </w:p>
        </w:tc>
        <w:tc>
          <w:tcPr>
            <w:tcW w:w="1374" w:type="dxa"/>
          </w:tcPr>
          <w:p>
            <w:pPr>
              <w:pStyle w:val="0"/>
              <w:jc w:val="center"/>
            </w:pPr>
            <w:r>
              <w:rPr>
                <w:sz w:val="20"/>
              </w:rPr>
              <w:t xml:space="preserve">14374874,5</w:t>
            </w:r>
          </w:p>
        </w:tc>
        <w:tc>
          <w:tcPr>
            <w:tcW w:w="1304" w:type="dxa"/>
          </w:tcPr>
          <w:p>
            <w:pPr>
              <w:pStyle w:val="0"/>
              <w:jc w:val="center"/>
            </w:pPr>
            <w:r>
              <w:rPr>
                <w:sz w:val="20"/>
              </w:rPr>
              <w:t xml:space="preserve">1134773,8</w:t>
            </w:r>
          </w:p>
        </w:tc>
        <w:tc>
          <w:tcPr>
            <w:tcW w:w="1376" w:type="dxa"/>
          </w:tcPr>
          <w:p>
            <w:pPr>
              <w:pStyle w:val="0"/>
              <w:jc w:val="center"/>
            </w:pPr>
            <w:r>
              <w:rPr>
                <w:sz w:val="20"/>
              </w:rPr>
              <w:t xml:space="preserve">15509648,3</w:t>
            </w:r>
          </w:p>
        </w:tc>
      </w:tr>
      <w:tr>
        <w:tc>
          <w:tcPr>
            <w:tcW w:w="1417" w:type="dxa"/>
          </w:tcPr>
          <w:p>
            <w:pPr>
              <w:pStyle w:val="0"/>
            </w:pPr>
            <w:r>
              <w:rPr>
                <w:sz w:val="20"/>
              </w:rPr>
              <w:t xml:space="preserve">Департамент культуры Владимирской области</w:t>
            </w:r>
          </w:p>
        </w:tc>
        <w:tc>
          <w:tcPr>
            <w:tcW w:w="1374" w:type="dxa"/>
          </w:tcPr>
          <w:p>
            <w:pPr>
              <w:pStyle w:val="0"/>
              <w:jc w:val="center"/>
            </w:pPr>
            <w:r>
              <w:rPr>
                <w:sz w:val="20"/>
              </w:rPr>
              <w:t xml:space="preserve">2066420,8</w:t>
            </w:r>
          </w:p>
        </w:tc>
        <w:tc>
          <w:tcPr>
            <w:tcW w:w="1304" w:type="dxa"/>
          </w:tcPr>
          <w:p>
            <w:pPr>
              <w:pStyle w:val="0"/>
              <w:jc w:val="center"/>
            </w:pPr>
            <w:r>
              <w:rPr>
                <w:sz w:val="20"/>
              </w:rPr>
              <w:t xml:space="preserve">152928,6</w:t>
            </w:r>
          </w:p>
        </w:tc>
        <w:tc>
          <w:tcPr>
            <w:tcW w:w="1374" w:type="dxa"/>
          </w:tcPr>
          <w:p>
            <w:pPr>
              <w:pStyle w:val="0"/>
              <w:jc w:val="center"/>
            </w:pPr>
            <w:r>
              <w:rPr>
                <w:sz w:val="20"/>
              </w:rPr>
              <w:t xml:space="preserve">2219349,4</w:t>
            </w:r>
          </w:p>
        </w:tc>
        <w:tc>
          <w:tcPr>
            <w:tcW w:w="1374" w:type="dxa"/>
          </w:tcPr>
          <w:p>
            <w:pPr>
              <w:pStyle w:val="0"/>
              <w:jc w:val="center"/>
            </w:pPr>
            <w:r>
              <w:rPr>
                <w:sz w:val="20"/>
              </w:rPr>
              <w:t xml:space="preserve">2760915,2</w:t>
            </w:r>
          </w:p>
        </w:tc>
        <w:tc>
          <w:tcPr>
            <w:tcW w:w="1304" w:type="dxa"/>
          </w:tcPr>
          <w:p>
            <w:pPr>
              <w:pStyle w:val="0"/>
              <w:jc w:val="center"/>
            </w:pPr>
            <w:r>
              <w:rPr>
                <w:sz w:val="20"/>
              </w:rPr>
              <w:t xml:space="preserve">152928,6</w:t>
            </w:r>
          </w:p>
        </w:tc>
        <w:tc>
          <w:tcPr>
            <w:tcW w:w="1374" w:type="dxa"/>
          </w:tcPr>
          <w:p>
            <w:pPr>
              <w:pStyle w:val="0"/>
              <w:jc w:val="center"/>
            </w:pPr>
            <w:r>
              <w:rPr>
                <w:sz w:val="20"/>
              </w:rPr>
              <w:t xml:space="preserve">2913843,8</w:t>
            </w:r>
          </w:p>
        </w:tc>
        <w:tc>
          <w:tcPr>
            <w:tcW w:w="1374" w:type="dxa"/>
          </w:tcPr>
          <w:p>
            <w:pPr>
              <w:pStyle w:val="0"/>
              <w:jc w:val="center"/>
            </w:pPr>
            <w:r>
              <w:rPr>
                <w:sz w:val="20"/>
              </w:rPr>
              <w:t xml:space="preserve">2758991,6</w:t>
            </w:r>
          </w:p>
        </w:tc>
        <w:tc>
          <w:tcPr>
            <w:tcW w:w="1304" w:type="dxa"/>
          </w:tcPr>
          <w:p>
            <w:pPr>
              <w:pStyle w:val="0"/>
              <w:jc w:val="center"/>
            </w:pPr>
            <w:r>
              <w:rPr>
                <w:sz w:val="20"/>
              </w:rPr>
              <w:t xml:space="preserve">152928,6</w:t>
            </w:r>
          </w:p>
        </w:tc>
        <w:tc>
          <w:tcPr>
            <w:tcW w:w="1376" w:type="dxa"/>
          </w:tcPr>
          <w:p>
            <w:pPr>
              <w:pStyle w:val="0"/>
              <w:jc w:val="center"/>
            </w:pPr>
            <w:r>
              <w:rPr>
                <w:sz w:val="20"/>
              </w:rPr>
              <w:t xml:space="preserve">2911920,2</w:t>
            </w:r>
          </w:p>
        </w:tc>
      </w:tr>
      <w:tr>
        <w:tc>
          <w:tcPr>
            <w:tcW w:w="1417" w:type="dxa"/>
          </w:tcPr>
          <w:p>
            <w:pPr>
              <w:pStyle w:val="0"/>
            </w:pPr>
            <w:r>
              <w:rPr>
                <w:sz w:val="20"/>
              </w:rPr>
              <w:t xml:space="preserve">Инспекция государственной охраны объектов культурного наследия Владимирской области</w:t>
            </w:r>
          </w:p>
        </w:tc>
        <w:tc>
          <w:tcPr>
            <w:tcW w:w="1374" w:type="dxa"/>
          </w:tcPr>
          <w:p>
            <w:pPr>
              <w:pStyle w:val="0"/>
              <w:jc w:val="center"/>
            </w:pPr>
            <w:r>
              <w:rPr>
                <w:sz w:val="20"/>
              </w:rPr>
              <w:t xml:space="preserve">22845,4</w:t>
            </w:r>
          </w:p>
        </w:tc>
        <w:tc>
          <w:tcPr>
            <w:tcW w:w="1304" w:type="dxa"/>
          </w:tcPr>
          <w:p>
            <w:pPr>
              <w:pStyle w:val="0"/>
              <w:jc w:val="center"/>
            </w:pPr>
            <w:r>
              <w:rPr>
                <w:sz w:val="20"/>
              </w:rPr>
              <w:t xml:space="preserve">7128,6</w:t>
            </w:r>
          </w:p>
        </w:tc>
        <w:tc>
          <w:tcPr>
            <w:tcW w:w="1374" w:type="dxa"/>
          </w:tcPr>
          <w:p>
            <w:pPr>
              <w:pStyle w:val="0"/>
              <w:jc w:val="center"/>
            </w:pPr>
            <w:r>
              <w:rPr>
                <w:sz w:val="20"/>
              </w:rPr>
              <w:t xml:space="preserve">29974,0</w:t>
            </w:r>
          </w:p>
        </w:tc>
        <w:tc>
          <w:tcPr>
            <w:tcW w:w="1374" w:type="dxa"/>
          </w:tcPr>
          <w:p>
            <w:pPr>
              <w:pStyle w:val="0"/>
              <w:jc w:val="center"/>
            </w:pPr>
            <w:r>
              <w:rPr>
                <w:sz w:val="20"/>
              </w:rPr>
              <w:t xml:space="preserve">23088,3</w:t>
            </w:r>
          </w:p>
        </w:tc>
        <w:tc>
          <w:tcPr>
            <w:tcW w:w="1304" w:type="dxa"/>
          </w:tcPr>
          <w:p>
            <w:pPr>
              <w:pStyle w:val="0"/>
              <w:jc w:val="center"/>
            </w:pPr>
            <w:r>
              <w:rPr>
                <w:sz w:val="20"/>
              </w:rPr>
              <w:t xml:space="preserve">7128,6</w:t>
            </w:r>
          </w:p>
        </w:tc>
        <w:tc>
          <w:tcPr>
            <w:tcW w:w="1374" w:type="dxa"/>
          </w:tcPr>
          <w:p>
            <w:pPr>
              <w:pStyle w:val="0"/>
              <w:jc w:val="center"/>
            </w:pPr>
            <w:r>
              <w:rPr>
                <w:sz w:val="20"/>
              </w:rPr>
              <w:t xml:space="preserve">30216,9</w:t>
            </w:r>
          </w:p>
        </w:tc>
        <w:tc>
          <w:tcPr>
            <w:tcW w:w="1374" w:type="dxa"/>
          </w:tcPr>
          <w:p>
            <w:pPr>
              <w:pStyle w:val="0"/>
              <w:jc w:val="center"/>
            </w:pPr>
            <w:r>
              <w:rPr>
                <w:sz w:val="20"/>
              </w:rPr>
              <w:t xml:space="preserve">23088,3</w:t>
            </w:r>
          </w:p>
        </w:tc>
        <w:tc>
          <w:tcPr>
            <w:tcW w:w="1304" w:type="dxa"/>
          </w:tcPr>
          <w:p>
            <w:pPr>
              <w:pStyle w:val="0"/>
              <w:jc w:val="center"/>
            </w:pPr>
            <w:r>
              <w:rPr>
                <w:sz w:val="20"/>
              </w:rPr>
              <w:t xml:space="preserve">7128,6</w:t>
            </w:r>
          </w:p>
        </w:tc>
        <w:tc>
          <w:tcPr>
            <w:tcW w:w="1376" w:type="dxa"/>
          </w:tcPr>
          <w:p>
            <w:pPr>
              <w:pStyle w:val="0"/>
              <w:jc w:val="center"/>
            </w:pPr>
            <w:r>
              <w:rPr>
                <w:sz w:val="20"/>
              </w:rPr>
              <w:t xml:space="preserve">30216,9</w:t>
            </w:r>
          </w:p>
        </w:tc>
      </w:tr>
      <w:tr>
        <w:tc>
          <w:tcPr>
            <w:tcW w:w="1417" w:type="dxa"/>
          </w:tcPr>
          <w:p>
            <w:pPr>
              <w:pStyle w:val="0"/>
            </w:pPr>
            <w:r>
              <w:rPr>
                <w:sz w:val="20"/>
              </w:rPr>
              <w:t xml:space="preserve">Департамент социальной защиты населения Владимирской области</w:t>
            </w:r>
          </w:p>
        </w:tc>
        <w:tc>
          <w:tcPr>
            <w:tcW w:w="1374" w:type="dxa"/>
          </w:tcPr>
          <w:p>
            <w:pPr>
              <w:pStyle w:val="0"/>
              <w:jc w:val="center"/>
            </w:pPr>
            <w:r>
              <w:rPr>
                <w:sz w:val="20"/>
              </w:rPr>
              <w:t xml:space="preserve">16487878,4</w:t>
            </w:r>
          </w:p>
        </w:tc>
        <w:tc>
          <w:tcPr>
            <w:tcW w:w="1304" w:type="dxa"/>
          </w:tcPr>
          <w:p>
            <w:pPr>
              <w:pStyle w:val="0"/>
              <w:jc w:val="center"/>
            </w:pPr>
            <w:r>
              <w:rPr>
                <w:sz w:val="20"/>
              </w:rPr>
              <w:t xml:space="preserve">1586307,8</w:t>
            </w:r>
          </w:p>
        </w:tc>
        <w:tc>
          <w:tcPr>
            <w:tcW w:w="1374" w:type="dxa"/>
          </w:tcPr>
          <w:p>
            <w:pPr>
              <w:pStyle w:val="0"/>
              <w:jc w:val="center"/>
            </w:pPr>
            <w:r>
              <w:rPr>
                <w:sz w:val="20"/>
              </w:rPr>
              <w:t xml:space="preserve">18074186,2</w:t>
            </w:r>
          </w:p>
        </w:tc>
        <w:tc>
          <w:tcPr>
            <w:tcW w:w="1374" w:type="dxa"/>
          </w:tcPr>
          <w:p>
            <w:pPr>
              <w:pStyle w:val="0"/>
              <w:jc w:val="center"/>
            </w:pPr>
            <w:r>
              <w:rPr>
                <w:sz w:val="20"/>
              </w:rPr>
              <w:t xml:space="preserve">16936196,6</w:t>
            </w:r>
          </w:p>
        </w:tc>
        <w:tc>
          <w:tcPr>
            <w:tcW w:w="1304" w:type="dxa"/>
          </w:tcPr>
          <w:p>
            <w:pPr>
              <w:pStyle w:val="0"/>
              <w:jc w:val="center"/>
            </w:pPr>
            <w:r>
              <w:rPr>
                <w:sz w:val="20"/>
              </w:rPr>
              <w:t xml:space="preserve">1573275,2</w:t>
            </w:r>
          </w:p>
        </w:tc>
        <w:tc>
          <w:tcPr>
            <w:tcW w:w="1374" w:type="dxa"/>
          </w:tcPr>
          <w:p>
            <w:pPr>
              <w:pStyle w:val="0"/>
              <w:jc w:val="center"/>
            </w:pPr>
            <w:r>
              <w:rPr>
                <w:sz w:val="20"/>
              </w:rPr>
              <w:t xml:space="preserve">18509471,8</w:t>
            </w:r>
          </w:p>
        </w:tc>
        <w:tc>
          <w:tcPr>
            <w:tcW w:w="1374" w:type="dxa"/>
          </w:tcPr>
          <w:p>
            <w:pPr>
              <w:pStyle w:val="0"/>
              <w:jc w:val="center"/>
            </w:pPr>
            <w:r>
              <w:rPr>
                <w:sz w:val="20"/>
              </w:rPr>
              <w:t xml:space="preserve">16936196,6</w:t>
            </w:r>
          </w:p>
        </w:tc>
        <w:tc>
          <w:tcPr>
            <w:tcW w:w="1304" w:type="dxa"/>
          </w:tcPr>
          <w:p>
            <w:pPr>
              <w:pStyle w:val="0"/>
              <w:jc w:val="center"/>
            </w:pPr>
            <w:r>
              <w:rPr>
                <w:sz w:val="20"/>
              </w:rPr>
              <w:t xml:space="preserve">1560232,4</w:t>
            </w:r>
          </w:p>
        </w:tc>
        <w:tc>
          <w:tcPr>
            <w:tcW w:w="1376" w:type="dxa"/>
          </w:tcPr>
          <w:p>
            <w:pPr>
              <w:pStyle w:val="0"/>
              <w:jc w:val="center"/>
            </w:pPr>
            <w:r>
              <w:rPr>
                <w:sz w:val="20"/>
              </w:rPr>
              <w:t xml:space="preserve">18496429,0</w:t>
            </w:r>
          </w:p>
        </w:tc>
      </w:tr>
      <w:tr>
        <w:tc>
          <w:tcPr>
            <w:tcW w:w="1417" w:type="dxa"/>
          </w:tcPr>
          <w:p>
            <w:pPr>
              <w:pStyle w:val="0"/>
            </w:pPr>
            <w:r>
              <w:rPr>
                <w:sz w:val="20"/>
              </w:rPr>
              <w:t xml:space="preserve">Департамент имущественных и земельных отношений Владимирской области</w:t>
            </w:r>
          </w:p>
        </w:tc>
        <w:tc>
          <w:tcPr>
            <w:tcW w:w="1374" w:type="dxa"/>
          </w:tcPr>
          <w:p>
            <w:pPr>
              <w:pStyle w:val="0"/>
              <w:jc w:val="center"/>
            </w:pPr>
            <w:r>
              <w:rPr>
                <w:sz w:val="20"/>
              </w:rPr>
              <w:t xml:space="preserve">315804,3</w:t>
            </w:r>
          </w:p>
        </w:tc>
        <w:tc>
          <w:tcPr>
            <w:tcW w:w="1304" w:type="dxa"/>
          </w:tcPr>
          <w:p>
            <w:pPr>
              <w:pStyle w:val="0"/>
              <w:jc w:val="center"/>
            </w:pPr>
            <w:r>
              <w:rPr>
                <w:sz w:val="20"/>
              </w:rPr>
              <w:t xml:space="preserve">29550,3</w:t>
            </w:r>
          </w:p>
        </w:tc>
        <w:tc>
          <w:tcPr>
            <w:tcW w:w="1374" w:type="dxa"/>
          </w:tcPr>
          <w:p>
            <w:pPr>
              <w:pStyle w:val="0"/>
              <w:jc w:val="center"/>
            </w:pPr>
            <w:r>
              <w:rPr>
                <w:sz w:val="20"/>
              </w:rPr>
              <w:t xml:space="preserve">345354,6</w:t>
            </w:r>
          </w:p>
        </w:tc>
        <w:tc>
          <w:tcPr>
            <w:tcW w:w="1374" w:type="dxa"/>
          </w:tcPr>
          <w:p>
            <w:pPr>
              <w:pStyle w:val="0"/>
              <w:jc w:val="center"/>
            </w:pPr>
            <w:r>
              <w:rPr>
                <w:sz w:val="20"/>
              </w:rPr>
              <w:t xml:space="preserve">315804,3</w:t>
            </w:r>
          </w:p>
        </w:tc>
        <w:tc>
          <w:tcPr>
            <w:tcW w:w="1304" w:type="dxa"/>
          </w:tcPr>
          <w:p>
            <w:pPr>
              <w:pStyle w:val="0"/>
              <w:jc w:val="center"/>
            </w:pPr>
            <w:r>
              <w:rPr>
                <w:sz w:val="20"/>
              </w:rPr>
              <w:t xml:space="preserve">29550,3</w:t>
            </w:r>
          </w:p>
        </w:tc>
        <w:tc>
          <w:tcPr>
            <w:tcW w:w="1374" w:type="dxa"/>
          </w:tcPr>
          <w:p>
            <w:pPr>
              <w:pStyle w:val="0"/>
              <w:jc w:val="center"/>
            </w:pPr>
            <w:r>
              <w:rPr>
                <w:sz w:val="20"/>
              </w:rPr>
              <w:t xml:space="preserve">345354,6</w:t>
            </w:r>
          </w:p>
        </w:tc>
        <w:tc>
          <w:tcPr>
            <w:tcW w:w="1374" w:type="dxa"/>
          </w:tcPr>
          <w:p>
            <w:pPr>
              <w:pStyle w:val="0"/>
              <w:jc w:val="center"/>
            </w:pPr>
            <w:r>
              <w:rPr>
                <w:sz w:val="20"/>
              </w:rPr>
              <w:t xml:space="preserve">315804,3</w:t>
            </w:r>
          </w:p>
        </w:tc>
        <w:tc>
          <w:tcPr>
            <w:tcW w:w="1304" w:type="dxa"/>
          </w:tcPr>
          <w:p>
            <w:pPr>
              <w:pStyle w:val="0"/>
              <w:jc w:val="center"/>
            </w:pPr>
            <w:r>
              <w:rPr>
                <w:sz w:val="20"/>
              </w:rPr>
              <w:t xml:space="preserve">29550,3</w:t>
            </w:r>
          </w:p>
        </w:tc>
        <w:tc>
          <w:tcPr>
            <w:tcW w:w="1376" w:type="dxa"/>
          </w:tcPr>
          <w:p>
            <w:pPr>
              <w:pStyle w:val="0"/>
              <w:jc w:val="center"/>
            </w:pPr>
            <w:r>
              <w:rPr>
                <w:sz w:val="20"/>
              </w:rPr>
              <w:t xml:space="preserve">345354,6</w:t>
            </w:r>
          </w:p>
        </w:tc>
      </w:tr>
      <w:tr>
        <w:tc>
          <w:tcPr>
            <w:tcW w:w="1417" w:type="dxa"/>
          </w:tcPr>
          <w:p>
            <w:pPr>
              <w:pStyle w:val="0"/>
            </w:pPr>
            <w:r>
              <w:rPr>
                <w:sz w:val="20"/>
              </w:rPr>
              <w:t xml:space="preserve">Департамент физической культуры и спорта Владимирской области</w:t>
            </w:r>
          </w:p>
        </w:tc>
        <w:tc>
          <w:tcPr>
            <w:tcW w:w="1374" w:type="dxa"/>
          </w:tcPr>
          <w:p>
            <w:pPr>
              <w:pStyle w:val="0"/>
              <w:jc w:val="center"/>
            </w:pPr>
            <w:r>
              <w:rPr>
                <w:sz w:val="20"/>
              </w:rPr>
              <w:t xml:space="preserve">1112401,5</w:t>
            </w:r>
          </w:p>
        </w:tc>
        <w:tc>
          <w:tcPr>
            <w:tcW w:w="1304" w:type="dxa"/>
          </w:tcPr>
          <w:p>
            <w:pPr>
              <w:pStyle w:val="0"/>
              <w:jc w:val="center"/>
            </w:pPr>
            <w:r>
              <w:rPr>
                <w:sz w:val="20"/>
              </w:rPr>
              <w:t xml:space="preserve">32992,6</w:t>
            </w:r>
          </w:p>
        </w:tc>
        <w:tc>
          <w:tcPr>
            <w:tcW w:w="1374" w:type="dxa"/>
          </w:tcPr>
          <w:p>
            <w:pPr>
              <w:pStyle w:val="0"/>
              <w:jc w:val="center"/>
            </w:pPr>
            <w:r>
              <w:rPr>
                <w:sz w:val="20"/>
              </w:rPr>
              <w:t xml:space="preserve">1145394,1</w:t>
            </w:r>
          </w:p>
        </w:tc>
        <w:tc>
          <w:tcPr>
            <w:tcW w:w="1374" w:type="dxa"/>
          </w:tcPr>
          <w:p>
            <w:pPr>
              <w:pStyle w:val="0"/>
              <w:jc w:val="center"/>
            </w:pPr>
            <w:r>
              <w:rPr>
                <w:sz w:val="20"/>
              </w:rPr>
              <w:t xml:space="preserve">1419935,0</w:t>
            </w:r>
          </w:p>
        </w:tc>
        <w:tc>
          <w:tcPr>
            <w:tcW w:w="1304" w:type="dxa"/>
          </w:tcPr>
          <w:p>
            <w:pPr>
              <w:pStyle w:val="0"/>
              <w:jc w:val="center"/>
            </w:pPr>
            <w:r>
              <w:rPr>
                <w:sz w:val="20"/>
              </w:rPr>
              <w:t xml:space="preserve">32992,6</w:t>
            </w:r>
          </w:p>
        </w:tc>
        <w:tc>
          <w:tcPr>
            <w:tcW w:w="1374" w:type="dxa"/>
          </w:tcPr>
          <w:p>
            <w:pPr>
              <w:pStyle w:val="0"/>
              <w:jc w:val="center"/>
            </w:pPr>
            <w:r>
              <w:rPr>
                <w:sz w:val="20"/>
              </w:rPr>
              <w:t xml:space="preserve">1452927,6</w:t>
            </w:r>
          </w:p>
        </w:tc>
        <w:tc>
          <w:tcPr>
            <w:tcW w:w="1374" w:type="dxa"/>
          </w:tcPr>
          <w:p>
            <w:pPr>
              <w:pStyle w:val="0"/>
              <w:jc w:val="center"/>
            </w:pPr>
            <w:r>
              <w:rPr>
                <w:sz w:val="20"/>
              </w:rPr>
              <w:t xml:space="preserve">1102111,1</w:t>
            </w:r>
          </w:p>
        </w:tc>
        <w:tc>
          <w:tcPr>
            <w:tcW w:w="1304" w:type="dxa"/>
          </w:tcPr>
          <w:p>
            <w:pPr>
              <w:pStyle w:val="0"/>
              <w:jc w:val="center"/>
            </w:pPr>
            <w:r>
              <w:rPr>
                <w:sz w:val="20"/>
              </w:rPr>
              <w:t xml:space="preserve">32992,6</w:t>
            </w:r>
          </w:p>
        </w:tc>
        <w:tc>
          <w:tcPr>
            <w:tcW w:w="1376" w:type="dxa"/>
          </w:tcPr>
          <w:p>
            <w:pPr>
              <w:pStyle w:val="0"/>
              <w:jc w:val="center"/>
            </w:pPr>
            <w:r>
              <w:rPr>
                <w:sz w:val="20"/>
              </w:rPr>
              <w:t xml:space="preserve">1135103,7</w:t>
            </w:r>
          </w:p>
        </w:tc>
      </w:tr>
      <w:tr>
        <w:tc>
          <w:tcPr>
            <w:tcW w:w="1417" w:type="dxa"/>
          </w:tcPr>
          <w:p>
            <w:pPr>
              <w:pStyle w:val="0"/>
            </w:pPr>
            <w:r>
              <w:rPr>
                <w:sz w:val="20"/>
              </w:rPr>
              <w:t xml:space="preserve">Департамент цифрового развития Владимирской области</w:t>
            </w:r>
          </w:p>
        </w:tc>
        <w:tc>
          <w:tcPr>
            <w:tcW w:w="1374" w:type="dxa"/>
          </w:tcPr>
          <w:p>
            <w:pPr>
              <w:pStyle w:val="0"/>
              <w:jc w:val="center"/>
            </w:pPr>
            <w:r>
              <w:rPr>
                <w:sz w:val="20"/>
              </w:rPr>
              <w:t xml:space="preserve">137702,1</w:t>
            </w:r>
          </w:p>
        </w:tc>
        <w:tc>
          <w:tcPr>
            <w:tcW w:w="1304" w:type="dxa"/>
          </w:tcPr>
          <w:p>
            <w:pPr>
              <w:pStyle w:val="0"/>
              <w:jc w:val="center"/>
            </w:pPr>
            <w:r>
              <w:rPr>
                <w:sz w:val="20"/>
              </w:rPr>
              <w:t xml:space="preserve">7735,3</w:t>
            </w:r>
          </w:p>
        </w:tc>
        <w:tc>
          <w:tcPr>
            <w:tcW w:w="1374" w:type="dxa"/>
          </w:tcPr>
          <w:p>
            <w:pPr>
              <w:pStyle w:val="0"/>
              <w:jc w:val="center"/>
            </w:pPr>
            <w:r>
              <w:rPr>
                <w:sz w:val="20"/>
              </w:rPr>
              <w:t xml:space="preserve">145437,4</w:t>
            </w:r>
          </w:p>
        </w:tc>
        <w:tc>
          <w:tcPr>
            <w:tcW w:w="1374" w:type="dxa"/>
          </w:tcPr>
          <w:p>
            <w:pPr>
              <w:pStyle w:val="0"/>
              <w:jc w:val="center"/>
            </w:pPr>
            <w:r>
              <w:rPr>
                <w:sz w:val="20"/>
              </w:rPr>
              <w:t xml:space="preserve">365491,6</w:t>
            </w:r>
          </w:p>
        </w:tc>
        <w:tc>
          <w:tcPr>
            <w:tcW w:w="1304" w:type="dxa"/>
          </w:tcPr>
          <w:p>
            <w:pPr>
              <w:pStyle w:val="0"/>
              <w:jc w:val="center"/>
            </w:pPr>
            <w:r>
              <w:rPr>
                <w:sz w:val="20"/>
              </w:rPr>
              <w:t xml:space="preserve">7735,3</w:t>
            </w:r>
          </w:p>
        </w:tc>
        <w:tc>
          <w:tcPr>
            <w:tcW w:w="1374" w:type="dxa"/>
          </w:tcPr>
          <w:p>
            <w:pPr>
              <w:pStyle w:val="0"/>
              <w:jc w:val="center"/>
            </w:pPr>
            <w:r>
              <w:rPr>
                <w:sz w:val="20"/>
              </w:rPr>
              <w:t xml:space="preserve">373226,9</w:t>
            </w:r>
          </w:p>
        </w:tc>
        <w:tc>
          <w:tcPr>
            <w:tcW w:w="1374" w:type="dxa"/>
          </w:tcPr>
          <w:p>
            <w:pPr>
              <w:pStyle w:val="0"/>
              <w:jc w:val="center"/>
            </w:pPr>
            <w:r>
              <w:rPr>
                <w:sz w:val="20"/>
              </w:rPr>
              <w:t xml:space="preserve">67239,9</w:t>
            </w:r>
          </w:p>
        </w:tc>
        <w:tc>
          <w:tcPr>
            <w:tcW w:w="1304" w:type="dxa"/>
          </w:tcPr>
          <w:p>
            <w:pPr>
              <w:pStyle w:val="0"/>
              <w:jc w:val="center"/>
            </w:pPr>
            <w:r>
              <w:rPr>
                <w:sz w:val="20"/>
              </w:rPr>
              <w:t xml:space="preserve">7735,3</w:t>
            </w:r>
          </w:p>
        </w:tc>
        <w:tc>
          <w:tcPr>
            <w:tcW w:w="1376" w:type="dxa"/>
          </w:tcPr>
          <w:p>
            <w:pPr>
              <w:pStyle w:val="0"/>
              <w:jc w:val="center"/>
            </w:pPr>
            <w:r>
              <w:rPr>
                <w:sz w:val="20"/>
              </w:rPr>
              <w:t xml:space="preserve">74975,2</w:t>
            </w:r>
          </w:p>
        </w:tc>
      </w:tr>
      <w:tr>
        <w:tc>
          <w:tcPr>
            <w:tcW w:w="1417" w:type="dxa"/>
          </w:tcPr>
          <w:p>
            <w:pPr>
              <w:pStyle w:val="0"/>
            </w:pPr>
            <w:r>
              <w:rPr>
                <w:sz w:val="20"/>
              </w:rPr>
              <w:t xml:space="preserve">Департамент образования Владимирской области</w:t>
            </w:r>
          </w:p>
        </w:tc>
        <w:tc>
          <w:tcPr>
            <w:tcW w:w="1374" w:type="dxa"/>
          </w:tcPr>
          <w:p>
            <w:pPr>
              <w:pStyle w:val="0"/>
              <w:jc w:val="center"/>
            </w:pPr>
            <w:r>
              <w:rPr>
                <w:sz w:val="20"/>
              </w:rPr>
              <w:t xml:space="preserve">20732994,6</w:t>
            </w:r>
          </w:p>
        </w:tc>
        <w:tc>
          <w:tcPr>
            <w:tcW w:w="1304" w:type="dxa"/>
          </w:tcPr>
          <w:p>
            <w:pPr>
              <w:pStyle w:val="0"/>
              <w:jc w:val="center"/>
            </w:pPr>
            <w:r>
              <w:rPr>
                <w:sz w:val="20"/>
              </w:rPr>
              <w:t xml:space="preserve">1924577,5</w:t>
            </w:r>
          </w:p>
        </w:tc>
        <w:tc>
          <w:tcPr>
            <w:tcW w:w="1374" w:type="dxa"/>
          </w:tcPr>
          <w:p>
            <w:pPr>
              <w:pStyle w:val="0"/>
              <w:jc w:val="center"/>
            </w:pPr>
            <w:r>
              <w:rPr>
                <w:sz w:val="20"/>
              </w:rPr>
              <w:t xml:space="preserve">22657572,1</w:t>
            </w:r>
          </w:p>
        </w:tc>
        <w:tc>
          <w:tcPr>
            <w:tcW w:w="1374" w:type="dxa"/>
          </w:tcPr>
          <w:p>
            <w:pPr>
              <w:pStyle w:val="0"/>
              <w:jc w:val="center"/>
            </w:pPr>
            <w:r>
              <w:rPr>
                <w:sz w:val="20"/>
              </w:rPr>
              <w:t xml:space="preserve">19126059,8</w:t>
            </w:r>
          </w:p>
        </w:tc>
        <w:tc>
          <w:tcPr>
            <w:tcW w:w="1304" w:type="dxa"/>
          </w:tcPr>
          <w:p>
            <w:pPr>
              <w:pStyle w:val="0"/>
              <w:jc w:val="center"/>
            </w:pPr>
            <w:r>
              <w:rPr>
                <w:sz w:val="20"/>
              </w:rPr>
              <w:t xml:space="preserve">2563817,1</w:t>
            </w:r>
          </w:p>
        </w:tc>
        <w:tc>
          <w:tcPr>
            <w:tcW w:w="1374" w:type="dxa"/>
          </w:tcPr>
          <w:p>
            <w:pPr>
              <w:pStyle w:val="0"/>
              <w:jc w:val="center"/>
            </w:pPr>
            <w:r>
              <w:rPr>
                <w:sz w:val="20"/>
              </w:rPr>
              <w:t xml:space="preserve">21689876,9</w:t>
            </w:r>
          </w:p>
        </w:tc>
        <w:tc>
          <w:tcPr>
            <w:tcW w:w="1374" w:type="dxa"/>
          </w:tcPr>
          <w:p>
            <w:pPr>
              <w:pStyle w:val="0"/>
              <w:jc w:val="center"/>
            </w:pPr>
            <w:r>
              <w:rPr>
                <w:sz w:val="20"/>
              </w:rPr>
              <w:t xml:space="preserve">19125856,6</w:t>
            </w:r>
          </w:p>
        </w:tc>
        <w:tc>
          <w:tcPr>
            <w:tcW w:w="1304" w:type="dxa"/>
          </w:tcPr>
          <w:p>
            <w:pPr>
              <w:pStyle w:val="0"/>
              <w:jc w:val="center"/>
            </w:pPr>
            <w:r>
              <w:rPr>
                <w:sz w:val="20"/>
              </w:rPr>
              <w:t xml:space="preserve">1912059,0</w:t>
            </w:r>
          </w:p>
        </w:tc>
        <w:tc>
          <w:tcPr>
            <w:tcW w:w="1376" w:type="dxa"/>
          </w:tcPr>
          <w:p>
            <w:pPr>
              <w:pStyle w:val="0"/>
              <w:jc w:val="center"/>
            </w:pPr>
            <w:r>
              <w:rPr>
                <w:sz w:val="20"/>
              </w:rPr>
              <w:t xml:space="preserve">21037915,6</w:t>
            </w:r>
          </w:p>
        </w:tc>
      </w:tr>
      <w:tr>
        <w:tc>
          <w:tcPr>
            <w:tcW w:w="1417" w:type="dxa"/>
          </w:tcPr>
          <w:p>
            <w:pPr>
              <w:pStyle w:val="0"/>
            </w:pPr>
            <w:r>
              <w:rPr>
                <w:sz w:val="20"/>
              </w:rPr>
              <w:t xml:space="preserve">Инспекция государственного надзора в сфере охраны и использования объектов животного мира Владимирской области</w:t>
            </w:r>
          </w:p>
        </w:tc>
        <w:tc>
          <w:tcPr>
            <w:tcW w:w="1374" w:type="dxa"/>
          </w:tcPr>
          <w:p>
            <w:pPr>
              <w:pStyle w:val="0"/>
              <w:jc w:val="center"/>
            </w:pPr>
            <w:r>
              <w:rPr>
                <w:sz w:val="20"/>
              </w:rPr>
              <w:t xml:space="preserve">53162,0</w:t>
            </w:r>
          </w:p>
        </w:tc>
        <w:tc>
          <w:tcPr>
            <w:tcW w:w="1304" w:type="dxa"/>
          </w:tcPr>
          <w:p>
            <w:pPr>
              <w:pStyle w:val="0"/>
              <w:jc w:val="center"/>
            </w:pPr>
            <w:r>
              <w:rPr>
                <w:sz w:val="20"/>
              </w:rPr>
              <w:t xml:space="preserve">13765,9</w:t>
            </w:r>
          </w:p>
        </w:tc>
        <w:tc>
          <w:tcPr>
            <w:tcW w:w="1374" w:type="dxa"/>
          </w:tcPr>
          <w:p>
            <w:pPr>
              <w:pStyle w:val="0"/>
              <w:jc w:val="center"/>
            </w:pPr>
            <w:r>
              <w:rPr>
                <w:sz w:val="20"/>
              </w:rPr>
              <w:t xml:space="preserve">66927,9</w:t>
            </w:r>
          </w:p>
        </w:tc>
        <w:tc>
          <w:tcPr>
            <w:tcW w:w="1374" w:type="dxa"/>
          </w:tcPr>
          <w:p>
            <w:pPr>
              <w:pStyle w:val="0"/>
              <w:jc w:val="center"/>
            </w:pPr>
            <w:r>
              <w:rPr>
                <w:sz w:val="20"/>
              </w:rPr>
              <w:t xml:space="preserve">53440,8</w:t>
            </w:r>
          </w:p>
        </w:tc>
        <w:tc>
          <w:tcPr>
            <w:tcW w:w="1304" w:type="dxa"/>
          </w:tcPr>
          <w:p>
            <w:pPr>
              <w:pStyle w:val="0"/>
              <w:jc w:val="center"/>
            </w:pPr>
            <w:r>
              <w:rPr>
                <w:sz w:val="20"/>
              </w:rPr>
              <w:t xml:space="preserve">13487,1</w:t>
            </w:r>
          </w:p>
        </w:tc>
        <w:tc>
          <w:tcPr>
            <w:tcW w:w="1374" w:type="dxa"/>
          </w:tcPr>
          <w:p>
            <w:pPr>
              <w:pStyle w:val="0"/>
              <w:jc w:val="center"/>
            </w:pPr>
            <w:r>
              <w:rPr>
                <w:sz w:val="20"/>
              </w:rPr>
              <w:t xml:space="preserve">66927,9</w:t>
            </w:r>
          </w:p>
        </w:tc>
        <w:tc>
          <w:tcPr>
            <w:tcW w:w="1374" w:type="dxa"/>
          </w:tcPr>
          <w:p>
            <w:pPr>
              <w:pStyle w:val="0"/>
              <w:jc w:val="center"/>
            </w:pPr>
            <w:r>
              <w:rPr>
                <w:sz w:val="20"/>
              </w:rPr>
              <w:t xml:space="preserve">53440,8</w:t>
            </w:r>
          </w:p>
        </w:tc>
        <w:tc>
          <w:tcPr>
            <w:tcW w:w="1304" w:type="dxa"/>
          </w:tcPr>
          <w:p>
            <w:pPr>
              <w:pStyle w:val="0"/>
              <w:jc w:val="center"/>
            </w:pPr>
            <w:r>
              <w:rPr>
                <w:sz w:val="20"/>
              </w:rPr>
              <w:t xml:space="preserve">13487,1</w:t>
            </w:r>
          </w:p>
        </w:tc>
        <w:tc>
          <w:tcPr>
            <w:tcW w:w="1376" w:type="dxa"/>
          </w:tcPr>
          <w:p>
            <w:pPr>
              <w:pStyle w:val="0"/>
              <w:jc w:val="center"/>
            </w:pPr>
            <w:r>
              <w:rPr>
                <w:sz w:val="20"/>
              </w:rPr>
              <w:t xml:space="preserve">66927,9</w:t>
            </w:r>
          </w:p>
        </w:tc>
      </w:tr>
      <w:tr>
        <w:tc>
          <w:tcPr>
            <w:tcW w:w="1417" w:type="dxa"/>
          </w:tcPr>
          <w:p>
            <w:pPr>
              <w:pStyle w:val="0"/>
            </w:pPr>
            <w:r>
              <w:rPr>
                <w:sz w:val="20"/>
              </w:rPr>
              <w:t xml:space="preserve">Департамент сельского хозяйства Владимирской области</w:t>
            </w:r>
          </w:p>
        </w:tc>
        <w:tc>
          <w:tcPr>
            <w:tcW w:w="1374" w:type="dxa"/>
          </w:tcPr>
          <w:p>
            <w:pPr>
              <w:pStyle w:val="0"/>
              <w:jc w:val="center"/>
            </w:pPr>
            <w:r>
              <w:rPr>
                <w:sz w:val="20"/>
              </w:rPr>
              <w:t xml:space="preserve">1387272,1</w:t>
            </w:r>
          </w:p>
        </w:tc>
        <w:tc>
          <w:tcPr>
            <w:tcW w:w="1304" w:type="dxa"/>
          </w:tcPr>
          <w:p>
            <w:pPr>
              <w:pStyle w:val="0"/>
              <w:jc w:val="center"/>
            </w:pPr>
            <w:r>
              <w:rPr>
                <w:sz w:val="20"/>
              </w:rPr>
              <w:t xml:space="preserve">22937,2</w:t>
            </w:r>
          </w:p>
        </w:tc>
        <w:tc>
          <w:tcPr>
            <w:tcW w:w="1374" w:type="dxa"/>
          </w:tcPr>
          <w:p>
            <w:pPr>
              <w:pStyle w:val="0"/>
              <w:jc w:val="center"/>
            </w:pPr>
            <w:r>
              <w:rPr>
                <w:sz w:val="20"/>
              </w:rPr>
              <w:t xml:space="preserve">1410209,3</w:t>
            </w:r>
          </w:p>
        </w:tc>
        <w:tc>
          <w:tcPr>
            <w:tcW w:w="1374" w:type="dxa"/>
          </w:tcPr>
          <w:p>
            <w:pPr>
              <w:pStyle w:val="0"/>
              <w:jc w:val="center"/>
            </w:pPr>
            <w:r>
              <w:rPr>
                <w:sz w:val="20"/>
              </w:rPr>
              <w:t xml:space="preserve">1368250,6</w:t>
            </w:r>
          </w:p>
        </w:tc>
        <w:tc>
          <w:tcPr>
            <w:tcW w:w="1304" w:type="dxa"/>
          </w:tcPr>
          <w:p>
            <w:pPr>
              <w:pStyle w:val="0"/>
              <w:jc w:val="center"/>
            </w:pPr>
            <w:r>
              <w:rPr>
                <w:sz w:val="20"/>
              </w:rPr>
              <w:t xml:space="preserve">22937,2</w:t>
            </w:r>
          </w:p>
        </w:tc>
        <w:tc>
          <w:tcPr>
            <w:tcW w:w="1374" w:type="dxa"/>
          </w:tcPr>
          <w:p>
            <w:pPr>
              <w:pStyle w:val="0"/>
              <w:jc w:val="center"/>
            </w:pPr>
            <w:r>
              <w:rPr>
                <w:sz w:val="20"/>
              </w:rPr>
              <w:t xml:space="preserve">1391187,8</w:t>
            </w:r>
          </w:p>
        </w:tc>
        <w:tc>
          <w:tcPr>
            <w:tcW w:w="1374" w:type="dxa"/>
          </w:tcPr>
          <w:p>
            <w:pPr>
              <w:pStyle w:val="0"/>
              <w:jc w:val="center"/>
            </w:pPr>
            <w:r>
              <w:rPr>
                <w:sz w:val="20"/>
              </w:rPr>
              <w:t xml:space="preserve">1257623,0</w:t>
            </w:r>
          </w:p>
        </w:tc>
        <w:tc>
          <w:tcPr>
            <w:tcW w:w="1304" w:type="dxa"/>
          </w:tcPr>
          <w:p>
            <w:pPr>
              <w:pStyle w:val="0"/>
              <w:jc w:val="center"/>
            </w:pPr>
            <w:r>
              <w:rPr>
                <w:sz w:val="20"/>
              </w:rPr>
              <w:t xml:space="preserve">22937,2</w:t>
            </w:r>
          </w:p>
        </w:tc>
        <w:tc>
          <w:tcPr>
            <w:tcW w:w="1376" w:type="dxa"/>
          </w:tcPr>
          <w:p>
            <w:pPr>
              <w:pStyle w:val="0"/>
              <w:jc w:val="center"/>
            </w:pPr>
            <w:r>
              <w:rPr>
                <w:sz w:val="20"/>
              </w:rPr>
              <w:t xml:space="preserve">1280560,2</w:t>
            </w:r>
          </w:p>
        </w:tc>
      </w:tr>
      <w:tr>
        <w:tc>
          <w:tcPr>
            <w:tcW w:w="1417" w:type="dxa"/>
          </w:tcPr>
          <w:p>
            <w:pPr>
              <w:pStyle w:val="0"/>
            </w:pPr>
            <w:r>
              <w:rPr>
                <w:sz w:val="20"/>
              </w:rPr>
              <w:t xml:space="preserve">Инспекция государственного надзора за техническим состоянием самоходных машин и других видов техники Владимирской области</w:t>
            </w:r>
          </w:p>
        </w:tc>
        <w:tc>
          <w:tcPr>
            <w:tcW w:w="1374" w:type="dxa"/>
          </w:tcPr>
          <w:p>
            <w:pPr>
              <w:pStyle w:val="0"/>
              <w:jc w:val="center"/>
            </w:pPr>
            <w:r>
              <w:rPr>
                <w:sz w:val="20"/>
              </w:rPr>
              <w:t xml:space="preserve">27876,0</w:t>
            </w:r>
          </w:p>
        </w:tc>
        <w:tc>
          <w:tcPr>
            <w:tcW w:w="1304" w:type="dxa"/>
          </w:tcPr>
          <w:p>
            <w:pPr>
              <w:pStyle w:val="0"/>
              <w:jc w:val="center"/>
            </w:pPr>
            <w:r>
              <w:rPr>
                <w:sz w:val="20"/>
              </w:rPr>
              <w:t xml:space="preserve">9376,9</w:t>
            </w:r>
          </w:p>
        </w:tc>
        <w:tc>
          <w:tcPr>
            <w:tcW w:w="1374" w:type="dxa"/>
          </w:tcPr>
          <w:p>
            <w:pPr>
              <w:pStyle w:val="0"/>
              <w:jc w:val="center"/>
            </w:pPr>
            <w:r>
              <w:rPr>
                <w:sz w:val="20"/>
              </w:rPr>
              <w:t xml:space="preserve">37252,9</w:t>
            </w:r>
          </w:p>
        </w:tc>
        <w:tc>
          <w:tcPr>
            <w:tcW w:w="1374" w:type="dxa"/>
          </w:tcPr>
          <w:p>
            <w:pPr>
              <w:pStyle w:val="0"/>
              <w:jc w:val="center"/>
            </w:pPr>
            <w:r>
              <w:rPr>
                <w:sz w:val="20"/>
              </w:rPr>
              <w:t xml:space="preserve">27876,0</w:t>
            </w:r>
          </w:p>
        </w:tc>
        <w:tc>
          <w:tcPr>
            <w:tcW w:w="1304" w:type="dxa"/>
          </w:tcPr>
          <w:p>
            <w:pPr>
              <w:pStyle w:val="0"/>
              <w:jc w:val="center"/>
            </w:pPr>
            <w:r>
              <w:rPr>
                <w:sz w:val="20"/>
              </w:rPr>
              <w:t xml:space="preserve">9376,9</w:t>
            </w:r>
          </w:p>
        </w:tc>
        <w:tc>
          <w:tcPr>
            <w:tcW w:w="1374" w:type="dxa"/>
          </w:tcPr>
          <w:p>
            <w:pPr>
              <w:pStyle w:val="0"/>
              <w:jc w:val="center"/>
            </w:pPr>
            <w:r>
              <w:rPr>
                <w:sz w:val="20"/>
              </w:rPr>
              <w:t xml:space="preserve">37252,9</w:t>
            </w:r>
          </w:p>
        </w:tc>
        <w:tc>
          <w:tcPr>
            <w:tcW w:w="1374" w:type="dxa"/>
          </w:tcPr>
          <w:p>
            <w:pPr>
              <w:pStyle w:val="0"/>
              <w:jc w:val="center"/>
            </w:pPr>
            <w:r>
              <w:rPr>
                <w:sz w:val="20"/>
              </w:rPr>
              <w:t xml:space="preserve">27876,0</w:t>
            </w:r>
          </w:p>
        </w:tc>
        <w:tc>
          <w:tcPr>
            <w:tcW w:w="1304" w:type="dxa"/>
          </w:tcPr>
          <w:p>
            <w:pPr>
              <w:pStyle w:val="0"/>
              <w:jc w:val="center"/>
            </w:pPr>
            <w:r>
              <w:rPr>
                <w:sz w:val="20"/>
              </w:rPr>
              <w:t xml:space="preserve">9376,9</w:t>
            </w:r>
          </w:p>
        </w:tc>
        <w:tc>
          <w:tcPr>
            <w:tcW w:w="1376" w:type="dxa"/>
          </w:tcPr>
          <w:p>
            <w:pPr>
              <w:pStyle w:val="0"/>
              <w:jc w:val="center"/>
            </w:pPr>
            <w:r>
              <w:rPr>
                <w:sz w:val="20"/>
              </w:rPr>
              <w:t xml:space="preserve">37252,9</w:t>
            </w:r>
          </w:p>
        </w:tc>
      </w:tr>
      <w:tr>
        <w:tc>
          <w:tcPr>
            <w:tcW w:w="1417" w:type="dxa"/>
          </w:tcPr>
          <w:p>
            <w:pPr>
              <w:pStyle w:val="0"/>
            </w:pPr>
            <w:r>
              <w:rPr>
                <w:sz w:val="20"/>
              </w:rPr>
              <w:t xml:space="preserve">Департамент ветеринарии Владимирской области</w:t>
            </w:r>
          </w:p>
        </w:tc>
        <w:tc>
          <w:tcPr>
            <w:tcW w:w="1374" w:type="dxa"/>
          </w:tcPr>
          <w:p>
            <w:pPr>
              <w:pStyle w:val="0"/>
              <w:jc w:val="center"/>
            </w:pPr>
            <w:r>
              <w:rPr>
                <w:sz w:val="20"/>
              </w:rPr>
              <w:t xml:space="preserve">210764,1</w:t>
            </w:r>
          </w:p>
        </w:tc>
        <w:tc>
          <w:tcPr>
            <w:tcW w:w="1304" w:type="dxa"/>
          </w:tcPr>
          <w:p>
            <w:pPr>
              <w:pStyle w:val="0"/>
              <w:jc w:val="center"/>
            </w:pPr>
            <w:r>
              <w:rPr>
                <w:sz w:val="20"/>
              </w:rPr>
              <w:t xml:space="preserve">21800,8</w:t>
            </w:r>
          </w:p>
        </w:tc>
        <w:tc>
          <w:tcPr>
            <w:tcW w:w="1374" w:type="dxa"/>
          </w:tcPr>
          <w:p>
            <w:pPr>
              <w:pStyle w:val="0"/>
              <w:jc w:val="center"/>
            </w:pPr>
            <w:r>
              <w:rPr>
                <w:sz w:val="20"/>
              </w:rPr>
              <w:t xml:space="preserve">232564,9</w:t>
            </w:r>
          </w:p>
        </w:tc>
        <w:tc>
          <w:tcPr>
            <w:tcW w:w="1374" w:type="dxa"/>
          </w:tcPr>
          <w:p>
            <w:pPr>
              <w:pStyle w:val="0"/>
              <w:jc w:val="center"/>
            </w:pPr>
            <w:r>
              <w:rPr>
                <w:sz w:val="20"/>
              </w:rPr>
              <w:t xml:space="preserve">210764,1</w:t>
            </w:r>
          </w:p>
        </w:tc>
        <w:tc>
          <w:tcPr>
            <w:tcW w:w="1304" w:type="dxa"/>
          </w:tcPr>
          <w:p>
            <w:pPr>
              <w:pStyle w:val="0"/>
              <w:jc w:val="center"/>
            </w:pPr>
            <w:r>
              <w:rPr>
                <w:sz w:val="20"/>
              </w:rPr>
              <w:t xml:space="preserve">21800,8</w:t>
            </w:r>
          </w:p>
        </w:tc>
        <w:tc>
          <w:tcPr>
            <w:tcW w:w="1374" w:type="dxa"/>
          </w:tcPr>
          <w:p>
            <w:pPr>
              <w:pStyle w:val="0"/>
              <w:jc w:val="center"/>
            </w:pPr>
            <w:r>
              <w:rPr>
                <w:sz w:val="20"/>
              </w:rPr>
              <w:t xml:space="preserve">232564,9</w:t>
            </w:r>
          </w:p>
        </w:tc>
        <w:tc>
          <w:tcPr>
            <w:tcW w:w="1374" w:type="dxa"/>
          </w:tcPr>
          <w:p>
            <w:pPr>
              <w:pStyle w:val="0"/>
              <w:jc w:val="center"/>
            </w:pPr>
            <w:r>
              <w:rPr>
                <w:sz w:val="20"/>
              </w:rPr>
              <w:t xml:space="preserve">210764,1</w:t>
            </w:r>
          </w:p>
        </w:tc>
        <w:tc>
          <w:tcPr>
            <w:tcW w:w="1304" w:type="dxa"/>
          </w:tcPr>
          <w:p>
            <w:pPr>
              <w:pStyle w:val="0"/>
              <w:jc w:val="center"/>
            </w:pPr>
            <w:r>
              <w:rPr>
                <w:sz w:val="20"/>
              </w:rPr>
              <w:t xml:space="preserve">21800,8</w:t>
            </w:r>
          </w:p>
        </w:tc>
        <w:tc>
          <w:tcPr>
            <w:tcW w:w="1376" w:type="dxa"/>
          </w:tcPr>
          <w:p>
            <w:pPr>
              <w:pStyle w:val="0"/>
              <w:jc w:val="center"/>
            </w:pPr>
            <w:r>
              <w:rPr>
                <w:sz w:val="20"/>
              </w:rPr>
              <w:t xml:space="preserve">232564,9</w:t>
            </w:r>
          </w:p>
        </w:tc>
      </w:tr>
      <w:tr>
        <w:tc>
          <w:tcPr>
            <w:tcW w:w="1417" w:type="dxa"/>
          </w:tcPr>
          <w:p>
            <w:pPr>
              <w:pStyle w:val="0"/>
            </w:pPr>
            <w:r>
              <w:rPr>
                <w:sz w:val="20"/>
              </w:rPr>
              <w:t xml:space="preserve">Департамент безопасности Владимирской области</w:t>
            </w:r>
          </w:p>
        </w:tc>
        <w:tc>
          <w:tcPr>
            <w:tcW w:w="1374" w:type="dxa"/>
          </w:tcPr>
          <w:p>
            <w:pPr>
              <w:pStyle w:val="0"/>
              <w:jc w:val="center"/>
            </w:pPr>
            <w:r>
              <w:rPr>
                <w:sz w:val="20"/>
              </w:rPr>
              <w:t xml:space="preserve">282231,6</w:t>
            </w:r>
          </w:p>
        </w:tc>
        <w:tc>
          <w:tcPr>
            <w:tcW w:w="1304" w:type="dxa"/>
          </w:tcPr>
          <w:p>
            <w:pPr>
              <w:pStyle w:val="0"/>
              <w:jc w:val="center"/>
            </w:pPr>
            <w:r>
              <w:rPr>
                <w:sz w:val="20"/>
              </w:rPr>
              <w:t xml:space="preserve">67930,1</w:t>
            </w:r>
          </w:p>
        </w:tc>
        <w:tc>
          <w:tcPr>
            <w:tcW w:w="1374" w:type="dxa"/>
          </w:tcPr>
          <w:p>
            <w:pPr>
              <w:pStyle w:val="0"/>
              <w:jc w:val="center"/>
            </w:pPr>
            <w:r>
              <w:rPr>
                <w:sz w:val="20"/>
              </w:rPr>
              <w:t xml:space="preserve">350161,7</w:t>
            </w:r>
          </w:p>
        </w:tc>
        <w:tc>
          <w:tcPr>
            <w:tcW w:w="1374" w:type="dxa"/>
          </w:tcPr>
          <w:p>
            <w:pPr>
              <w:pStyle w:val="0"/>
              <w:jc w:val="center"/>
            </w:pPr>
            <w:r>
              <w:rPr>
                <w:sz w:val="20"/>
              </w:rPr>
              <w:t xml:space="preserve">282231,6</w:t>
            </w:r>
          </w:p>
        </w:tc>
        <w:tc>
          <w:tcPr>
            <w:tcW w:w="1304" w:type="dxa"/>
          </w:tcPr>
          <w:p>
            <w:pPr>
              <w:pStyle w:val="0"/>
              <w:jc w:val="center"/>
            </w:pPr>
            <w:r>
              <w:rPr>
                <w:sz w:val="20"/>
              </w:rPr>
              <w:t xml:space="preserve">67992,0</w:t>
            </w:r>
          </w:p>
        </w:tc>
        <w:tc>
          <w:tcPr>
            <w:tcW w:w="1374" w:type="dxa"/>
          </w:tcPr>
          <w:p>
            <w:pPr>
              <w:pStyle w:val="0"/>
              <w:jc w:val="center"/>
            </w:pPr>
            <w:r>
              <w:rPr>
                <w:sz w:val="20"/>
              </w:rPr>
              <w:t xml:space="preserve">350223,6</w:t>
            </w:r>
          </w:p>
        </w:tc>
        <w:tc>
          <w:tcPr>
            <w:tcW w:w="1374" w:type="dxa"/>
          </w:tcPr>
          <w:p>
            <w:pPr>
              <w:pStyle w:val="0"/>
              <w:jc w:val="center"/>
            </w:pPr>
            <w:r>
              <w:rPr>
                <w:sz w:val="20"/>
              </w:rPr>
              <w:t xml:space="preserve">282231,6</w:t>
            </w:r>
          </w:p>
        </w:tc>
        <w:tc>
          <w:tcPr>
            <w:tcW w:w="1304" w:type="dxa"/>
          </w:tcPr>
          <w:p>
            <w:pPr>
              <w:pStyle w:val="0"/>
              <w:jc w:val="center"/>
            </w:pPr>
            <w:r>
              <w:rPr>
                <w:sz w:val="20"/>
              </w:rPr>
              <w:t xml:space="preserve">67992,0</w:t>
            </w:r>
          </w:p>
        </w:tc>
        <w:tc>
          <w:tcPr>
            <w:tcW w:w="1376" w:type="dxa"/>
          </w:tcPr>
          <w:p>
            <w:pPr>
              <w:pStyle w:val="0"/>
              <w:jc w:val="center"/>
            </w:pPr>
            <w:r>
              <w:rPr>
                <w:sz w:val="20"/>
              </w:rPr>
              <w:t xml:space="preserve">350223,6</w:t>
            </w:r>
          </w:p>
        </w:tc>
      </w:tr>
      <w:tr>
        <w:tc>
          <w:tcPr>
            <w:tcW w:w="1417" w:type="dxa"/>
          </w:tcPr>
          <w:p>
            <w:pPr>
              <w:pStyle w:val="0"/>
            </w:pPr>
            <w:r>
              <w:rPr>
                <w:sz w:val="20"/>
              </w:rPr>
              <w:t xml:space="preserve">Департамент финансов Владимирской области</w:t>
            </w:r>
          </w:p>
        </w:tc>
        <w:tc>
          <w:tcPr>
            <w:tcW w:w="1374" w:type="dxa"/>
          </w:tcPr>
          <w:p>
            <w:pPr>
              <w:pStyle w:val="0"/>
              <w:jc w:val="center"/>
            </w:pPr>
            <w:r>
              <w:rPr>
                <w:sz w:val="20"/>
              </w:rPr>
              <w:t xml:space="preserve">5793999,5</w:t>
            </w:r>
          </w:p>
        </w:tc>
        <w:tc>
          <w:tcPr>
            <w:tcW w:w="1304" w:type="dxa"/>
          </w:tcPr>
          <w:p>
            <w:pPr>
              <w:pStyle w:val="0"/>
              <w:jc w:val="center"/>
            </w:pPr>
            <w:r>
              <w:rPr>
                <w:sz w:val="20"/>
              </w:rPr>
              <w:t xml:space="preserve">1468421,9</w:t>
            </w:r>
          </w:p>
        </w:tc>
        <w:tc>
          <w:tcPr>
            <w:tcW w:w="1374" w:type="dxa"/>
          </w:tcPr>
          <w:p>
            <w:pPr>
              <w:pStyle w:val="0"/>
              <w:jc w:val="center"/>
            </w:pPr>
            <w:r>
              <w:rPr>
                <w:sz w:val="20"/>
              </w:rPr>
              <w:t xml:space="preserve">7262421,4</w:t>
            </w:r>
          </w:p>
        </w:tc>
        <w:tc>
          <w:tcPr>
            <w:tcW w:w="1374" w:type="dxa"/>
          </w:tcPr>
          <w:p>
            <w:pPr>
              <w:pStyle w:val="0"/>
              <w:jc w:val="center"/>
            </w:pPr>
            <w:r>
              <w:rPr>
                <w:sz w:val="20"/>
              </w:rPr>
              <w:t xml:space="preserve">5664249,6</w:t>
            </w:r>
          </w:p>
        </w:tc>
        <w:tc>
          <w:tcPr>
            <w:tcW w:w="1304" w:type="dxa"/>
          </w:tcPr>
          <w:p>
            <w:pPr>
              <w:pStyle w:val="0"/>
              <w:jc w:val="center"/>
            </w:pPr>
            <w:r>
              <w:rPr>
                <w:sz w:val="20"/>
              </w:rPr>
              <w:t xml:space="preserve">1319774,7</w:t>
            </w:r>
          </w:p>
        </w:tc>
        <w:tc>
          <w:tcPr>
            <w:tcW w:w="1374" w:type="dxa"/>
          </w:tcPr>
          <w:p>
            <w:pPr>
              <w:pStyle w:val="0"/>
              <w:jc w:val="center"/>
            </w:pPr>
            <w:r>
              <w:rPr>
                <w:sz w:val="20"/>
              </w:rPr>
              <w:t xml:space="preserve">6984024,3</w:t>
            </w:r>
          </w:p>
        </w:tc>
        <w:tc>
          <w:tcPr>
            <w:tcW w:w="1374" w:type="dxa"/>
          </w:tcPr>
          <w:p>
            <w:pPr>
              <w:pStyle w:val="0"/>
              <w:jc w:val="center"/>
            </w:pPr>
            <w:r>
              <w:rPr>
                <w:sz w:val="20"/>
              </w:rPr>
              <w:t xml:space="preserve">5233280,2</w:t>
            </w:r>
          </w:p>
        </w:tc>
        <w:tc>
          <w:tcPr>
            <w:tcW w:w="1304" w:type="dxa"/>
          </w:tcPr>
          <w:p>
            <w:pPr>
              <w:pStyle w:val="0"/>
              <w:jc w:val="center"/>
            </w:pPr>
            <w:r>
              <w:rPr>
                <w:sz w:val="20"/>
              </w:rPr>
              <w:t xml:space="preserve">1787753,9</w:t>
            </w:r>
          </w:p>
        </w:tc>
        <w:tc>
          <w:tcPr>
            <w:tcW w:w="1376" w:type="dxa"/>
          </w:tcPr>
          <w:p>
            <w:pPr>
              <w:pStyle w:val="0"/>
              <w:jc w:val="center"/>
            </w:pPr>
            <w:r>
              <w:rPr>
                <w:sz w:val="20"/>
              </w:rPr>
              <w:t xml:space="preserve">7021034,1</w:t>
            </w:r>
          </w:p>
        </w:tc>
      </w:tr>
      <w:tr>
        <w:tc>
          <w:tcPr>
            <w:tcW w:w="1417" w:type="dxa"/>
          </w:tcPr>
          <w:p>
            <w:pPr>
              <w:pStyle w:val="0"/>
            </w:pPr>
            <w:r>
              <w:rPr>
                <w:sz w:val="20"/>
              </w:rPr>
              <w:t xml:space="preserve">Контрольно-ревизионная инспекция Владимирской области</w:t>
            </w:r>
          </w:p>
        </w:tc>
        <w:tc>
          <w:tcPr>
            <w:tcW w:w="1374" w:type="dxa"/>
          </w:tcPr>
          <w:p>
            <w:pPr>
              <w:pStyle w:val="0"/>
              <w:jc w:val="center"/>
            </w:pPr>
            <w:r>
              <w:rPr>
                <w:sz w:val="20"/>
              </w:rPr>
              <w:t xml:space="preserve">17954,9</w:t>
            </w:r>
          </w:p>
        </w:tc>
        <w:tc>
          <w:tcPr>
            <w:tcW w:w="1304" w:type="dxa"/>
          </w:tcPr>
          <w:p>
            <w:pPr>
              <w:pStyle w:val="0"/>
              <w:jc w:val="center"/>
            </w:pPr>
            <w:r>
              <w:rPr>
                <w:sz w:val="20"/>
              </w:rPr>
              <w:t xml:space="preserve">8231,1</w:t>
            </w:r>
          </w:p>
        </w:tc>
        <w:tc>
          <w:tcPr>
            <w:tcW w:w="1374" w:type="dxa"/>
          </w:tcPr>
          <w:p>
            <w:pPr>
              <w:pStyle w:val="0"/>
              <w:jc w:val="center"/>
            </w:pPr>
            <w:r>
              <w:rPr>
                <w:sz w:val="20"/>
              </w:rPr>
              <w:t xml:space="preserve">26186,0</w:t>
            </w:r>
          </w:p>
        </w:tc>
        <w:tc>
          <w:tcPr>
            <w:tcW w:w="1374" w:type="dxa"/>
          </w:tcPr>
          <w:p>
            <w:pPr>
              <w:pStyle w:val="0"/>
              <w:jc w:val="center"/>
            </w:pPr>
            <w:r>
              <w:rPr>
                <w:sz w:val="20"/>
              </w:rPr>
              <w:t xml:space="preserve">17954,9</w:t>
            </w:r>
          </w:p>
        </w:tc>
        <w:tc>
          <w:tcPr>
            <w:tcW w:w="1304" w:type="dxa"/>
          </w:tcPr>
          <w:p>
            <w:pPr>
              <w:pStyle w:val="0"/>
              <w:jc w:val="center"/>
            </w:pPr>
            <w:r>
              <w:rPr>
                <w:sz w:val="20"/>
              </w:rPr>
              <w:t xml:space="preserve">8231,1</w:t>
            </w:r>
          </w:p>
        </w:tc>
        <w:tc>
          <w:tcPr>
            <w:tcW w:w="1374" w:type="dxa"/>
          </w:tcPr>
          <w:p>
            <w:pPr>
              <w:pStyle w:val="0"/>
              <w:jc w:val="center"/>
            </w:pPr>
            <w:r>
              <w:rPr>
                <w:sz w:val="20"/>
              </w:rPr>
              <w:t xml:space="preserve">26186,0</w:t>
            </w:r>
          </w:p>
        </w:tc>
        <w:tc>
          <w:tcPr>
            <w:tcW w:w="1374" w:type="dxa"/>
          </w:tcPr>
          <w:p>
            <w:pPr>
              <w:pStyle w:val="0"/>
              <w:jc w:val="center"/>
            </w:pPr>
            <w:r>
              <w:rPr>
                <w:sz w:val="20"/>
              </w:rPr>
              <w:t xml:space="preserve">17954,9</w:t>
            </w:r>
          </w:p>
        </w:tc>
        <w:tc>
          <w:tcPr>
            <w:tcW w:w="1304" w:type="dxa"/>
          </w:tcPr>
          <w:p>
            <w:pPr>
              <w:pStyle w:val="0"/>
              <w:jc w:val="center"/>
            </w:pPr>
            <w:r>
              <w:rPr>
                <w:sz w:val="20"/>
              </w:rPr>
              <w:t xml:space="preserve">8231,1</w:t>
            </w:r>
          </w:p>
        </w:tc>
        <w:tc>
          <w:tcPr>
            <w:tcW w:w="1376" w:type="dxa"/>
          </w:tcPr>
          <w:p>
            <w:pPr>
              <w:pStyle w:val="0"/>
              <w:jc w:val="center"/>
            </w:pPr>
            <w:r>
              <w:rPr>
                <w:sz w:val="20"/>
              </w:rPr>
              <w:t xml:space="preserve">26186,0</w:t>
            </w:r>
          </w:p>
        </w:tc>
      </w:tr>
      <w:tr>
        <w:tc>
          <w:tcPr>
            <w:tcW w:w="1417" w:type="dxa"/>
          </w:tcPr>
          <w:p>
            <w:pPr>
              <w:pStyle w:val="0"/>
            </w:pPr>
            <w:r>
              <w:rPr>
                <w:sz w:val="20"/>
              </w:rPr>
              <w:t xml:space="preserve">Уполномоченный по правам человека во Владимирской области и его аппарат</w:t>
            </w:r>
          </w:p>
        </w:tc>
        <w:tc>
          <w:tcPr>
            <w:tcW w:w="1374" w:type="dxa"/>
          </w:tcPr>
          <w:p>
            <w:pPr>
              <w:pStyle w:val="0"/>
              <w:jc w:val="center"/>
            </w:pPr>
            <w:r>
              <w:rPr>
                <w:sz w:val="20"/>
              </w:rPr>
              <w:t xml:space="preserve">13619,3</w:t>
            </w:r>
          </w:p>
        </w:tc>
        <w:tc>
          <w:tcPr>
            <w:tcW w:w="1304" w:type="dxa"/>
          </w:tcPr>
          <w:p>
            <w:pPr>
              <w:pStyle w:val="0"/>
              <w:jc w:val="center"/>
            </w:pPr>
            <w:r>
              <w:rPr>
                <w:sz w:val="20"/>
              </w:rPr>
              <w:t xml:space="preserve">2774,4</w:t>
            </w:r>
          </w:p>
        </w:tc>
        <w:tc>
          <w:tcPr>
            <w:tcW w:w="1374" w:type="dxa"/>
          </w:tcPr>
          <w:p>
            <w:pPr>
              <w:pStyle w:val="0"/>
              <w:jc w:val="center"/>
            </w:pPr>
            <w:r>
              <w:rPr>
                <w:sz w:val="20"/>
              </w:rPr>
              <w:t xml:space="preserve">16393,7</w:t>
            </w:r>
          </w:p>
        </w:tc>
        <w:tc>
          <w:tcPr>
            <w:tcW w:w="1374" w:type="dxa"/>
          </w:tcPr>
          <w:p>
            <w:pPr>
              <w:pStyle w:val="0"/>
              <w:jc w:val="center"/>
            </w:pPr>
            <w:r>
              <w:rPr>
                <w:sz w:val="20"/>
              </w:rPr>
              <w:t xml:space="preserve">13619,3</w:t>
            </w:r>
          </w:p>
        </w:tc>
        <w:tc>
          <w:tcPr>
            <w:tcW w:w="1304" w:type="dxa"/>
          </w:tcPr>
          <w:p>
            <w:pPr>
              <w:pStyle w:val="0"/>
              <w:jc w:val="center"/>
            </w:pPr>
            <w:r>
              <w:rPr>
                <w:sz w:val="20"/>
              </w:rPr>
              <w:t xml:space="preserve">2774,4</w:t>
            </w:r>
          </w:p>
        </w:tc>
        <w:tc>
          <w:tcPr>
            <w:tcW w:w="1374" w:type="dxa"/>
          </w:tcPr>
          <w:p>
            <w:pPr>
              <w:pStyle w:val="0"/>
              <w:jc w:val="center"/>
            </w:pPr>
            <w:r>
              <w:rPr>
                <w:sz w:val="20"/>
              </w:rPr>
              <w:t xml:space="preserve">16393,7</w:t>
            </w:r>
          </w:p>
        </w:tc>
        <w:tc>
          <w:tcPr>
            <w:tcW w:w="1374" w:type="dxa"/>
          </w:tcPr>
          <w:p>
            <w:pPr>
              <w:pStyle w:val="0"/>
              <w:jc w:val="center"/>
            </w:pPr>
            <w:r>
              <w:rPr>
                <w:sz w:val="20"/>
              </w:rPr>
              <w:t xml:space="preserve">13619,3</w:t>
            </w:r>
          </w:p>
        </w:tc>
        <w:tc>
          <w:tcPr>
            <w:tcW w:w="1304" w:type="dxa"/>
          </w:tcPr>
          <w:p>
            <w:pPr>
              <w:pStyle w:val="0"/>
              <w:jc w:val="center"/>
            </w:pPr>
            <w:r>
              <w:rPr>
                <w:sz w:val="20"/>
              </w:rPr>
              <w:t xml:space="preserve">2774,4</w:t>
            </w:r>
          </w:p>
        </w:tc>
        <w:tc>
          <w:tcPr>
            <w:tcW w:w="1376" w:type="dxa"/>
          </w:tcPr>
          <w:p>
            <w:pPr>
              <w:pStyle w:val="0"/>
              <w:jc w:val="center"/>
            </w:pPr>
            <w:r>
              <w:rPr>
                <w:sz w:val="20"/>
              </w:rPr>
              <w:t xml:space="preserve">16393,7</w:t>
            </w:r>
          </w:p>
        </w:tc>
      </w:tr>
      <w:tr>
        <w:tc>
          <w:tcPr>
            <w:tcW w:w="1417" w:type="dxa"/>
          </w:tcPr>
          <w:p>
            <w:pPr>
              <w:pStyle w:val="0"/>
            </w:pPr>
            <w:r>
              <w:rPr>
                <w:sz w:val="20"/>
              </w:rPr>
              <w:t xml:space="preserve">Уполномоченный по защите прав предпринимателей во Владимирской области и его аппарат</w:t>
            </w:r>
          </w:p>
        </w:tc>
        <w:tc>
          <w:tcPr>
            <w:tcW w:w="1374" w:type="dxa"/>
          </w:tcPr>
          <w:p>
            <w:pPr>
              <w:pStyle w:val="0"/>
              <w:jc w:val="center"/>
            </w:pPr>
            <w:r>
              <w:rPr>
                <w:sz w:val="20"/>
              </w:rPr>
              <w:t xml:space="preserve">5056,4</w:t>
            </w:r>
          </w:p>
        </w:tc>
        <w:tc>
          <w:tcPr>
            <w:tcW w:w="1304" w:type="dxa"/>
          </w:tcPr>
          <w:p>
            <w:pPr>
              <w:pStyle w:val="0"/>
              <w:jc w:val="center"/>
            </w:pPr>
            <w:r>
              <w:rPr>
                <w:sz w:val="20"/>
              </w:rPr>
              <w:t xml:space="preserve">1050,0</w:t>
            </w:r>
          </w:p>
        </w:tc>
        <w:tc>
          <w:tcPr>
            <w:tcW w:w="1374" w:type="dxa"/>
          </w:tcPr>
          <w:p>
            <w:pPr>
              <w:pStyle w:val="0"/>
              <w:jc w:val="center"/>
            </w:pPr>
            <w:r>
              <w:rPr>
                <w:sz w:val="20"/>
              </w:rPr>
              <w:t xml:space="preserve">6106,4</w:t>
            </w:r>
          </w:p>
        </w:tc>
        <w:tc>
          <w:tcPr>
            <w:tcW w:w="1374" w:type="dxa"/>
          </w:tcPr>
          <w:p>
            <w:pPr>
              <w:pStyle w:val="0"/>
              <w:jc w:val="center"/>
            </w:pPr>
            <w:r>
              <w:rPr>
                <w:sz w:val="20"/>
              </w:rPr>
              <w:t xml:space="preserve">5056,4</w:t>
            </w:r>
          </w:p>
        </w:tc>
        <w:tc>
          <w:tcPr>
            <w:tcW w:w="1304" w:type="dxa"/>
          </w:tcPr>
          <w:p>
            <w:pPr>
              <w:pStyle w:val="0"/>
              <w:jc w:val="center"/>
            </w:pPr>
            <w:r>
              <w:rPr>
                <w:sz w:val="20"/>
              </w:rPr>
              <w:t xml:space="preserve">1050,0</w:t>
            </w:r>
          </w:p>
        </w:tc>
        <w:tc>
          <w:tcPr>
            <w:tcW w:w="1374" w:type="dxa"/>
          </w:tcPr>
          <w:p>
            <w:pPr>
              <w:pStyle w:val="0"/>
              <w:jc w:val="center"/>
            </w:pPr>
            <w:r>
              <w:rPr>
                <w:sz w:val="20"/>
              </w:rPr>
              <w:t xml:space="preserve">6106,4</w:t>
            </w:r>
          </w:p>
        </w:tc>
        <w:tc>
          <w:tcPr>
            <w:tcW w:w="1374" w:type="dxa"/>
          </w:tcPr>
          <w:p>
            <w:pPr>
              <w:pStyle w:val="0"/>
              <w:jc w:val="center"/>
            </w:pPr>
            <w:r>
              <w:rPr>
                <w:sz w:val="20"/>
              </w:rPr>
              <w:t xml:space="preserve">5056,4</w:t>
            </w:r>
          </w:p>
        </w:tc>
        <w:tc>
          <w:tcPr>
            <w:tcW w:w="1304" w:type="dxa"/>
          </w:tcPr>
          <w:p>
            <w:pPr>
              <w:pStyle w:val="0"/>
              <w:jc w:val="center"/>
            </w:pPr>
            <w:r>
              <w:rPr>
                <w:sz w:val="20"/>
              </w:rPr>
              <w:t xml:space="preserve">1050,0</w:t>
            </w:r>
          </w:p>
        </w:tc>
        <w:tc>
          <w:tcPr>
            <w:tcW w:w="1376" w:type="dxa"/>
          </w:tcPr>
          <w:p>
            <w:pPr>
              <w:pStyle w:val="0"/>
              <w:jc w:val="center"/>
            </w:pPr>
            <w:r>
              <w:rPr>
                <w:sz w:val="20"/>
              </w:rPr>
              <w:t xml:space="preserve">6106,4</w:t>
            </w:r>
          </w:p>
        </w:tc>
      </w:tr>
      <w:tr>
        <w:tc>
          <w:tcPr>
            <w:tcW w:w="1417" w:type="dxa"/>
          </w:tcPr>
          <w:p>
            <w:pPr>
              <w:pStyle w:val="0"/>
            </w:pPr>
            <w:r>
              <w:rPr>
                <w:sz w:val="20"/>
              </w:rPr>
              <w:t xml:space="preserve">Инспекция государственного административно-технического надзора Владимирской области</w:t>
            </w:r>
          </w:p>
        </w:tc>
        <w:tc>
          <w:tcPr>
            <w:tcW w:w="1374" w:type="dxa"/>
          </w:tcPr>
          <w:p>
            <w:pPr>
              <w:pStyle w:val="0"/>
              <w:jc w:val="center"/>
            </w:pPr>
            <w:r>
              <w:rPr>
                <w:sz w:val="20"/>
              </w:rPr>
              <w:t xml:space="preserve">46457,6</w:t>
            </w:r>
          </w:p>
        </w:tc>
        <w:tc>
          <w:tcPr>
            <w:tcW w:w="1304" w:type="dxa"/>
          </w:tcPr>
          <w:p>
            <w:pPr>
              <w:pStyle w:val="0"/>
              <w:jc w:val="center"/>
            </w:pPr>
            <w:r>
              <w:rPr>
                <w:sz w:val="20"/>
              </w:rPr>
              <w:t xml:space="preserve">11073,3</w:t>
            </w:r>
          </w:p>
        </w:tc>
        <w:tc>
          <w:tcPr>
            <w:tcW w:w="1374" w:type="dxa"/>
          </w:tcPr>
          <w:p>
            <w:pPr>
              <w:pStyle w:val="0"/>
              <w:jc w:val="center"/>
            </w:pPr>
            <w:r>
              <w:rPr>
                <w:sz w:val="20"/>
              </w:rPr>
              <w:t xml:space="preserve">57530,9</w:t>
            </w:r>
          </w:p>
        </w:tc>
        <w:tc>
          <w:tcPr>
            <w:tcW w:w="1374" w:type="dxa"/>
          </w:tcPr>
          <w:p>
            <w:pPr>
              <w:pStyle w:val="0"/>
              <w:jc w:val="center"/>
            </w:pPr>
            <w:r>
              <w:rPr>
                <w:sz w:val="20"/>
              </w:rPr>
              <w:t xml:space="preserve">46457,6</w:t>
            </w:r>
          </w:p>
        </w:tc>
        <w:tc>
          <w:tcPr>
            <w:tcW w:w="1304" w:type="dxa"/>
          </w:tcPr>
          <w:p>
            <w:pPr>
              <w:pStyle w:val="0"/>
              <w:jc w:val="center"/>
            </w:pPr>
            <w:r>
              <w:rPr>
                <w:sz w:val="20"/>
              </w:rPr>
              <w:t xml:space="preserve">11073,3</w:t>
            </w:r>
          </w:p>
        </w:tc>
        <w:tc>
          <w:tcPr>
            <w:tcW w:w="1374" w:type="dxa"/>
          </w:tcPr>
          <w:p>
            <w:pPr>
              <w:pStyle w:val="0"/>
              <w:jc w:val="center"/>
            </w:pPr>
            <w:r>
              <w:rPr>
                <w:sz w:val="20"/>
              </w:rPr>
              <w:t xml:space="preserve">57530,9</w:t>
            </w:r>
          </w:p>
        </w:tc>
        <w:tc>
          <w:tcPr>
            <w:tcW w:w="1374" w:type="dxa"/>
          </w:tcPr>
          <w:p>
            <w:pPr>
              <w:pStyle w:val="0"/>
              <w:jc w:val="center"/>
            </w:pPr>
            <w:r>
              <w:rPr>
                <w:sz w:val="20"/>
              </w:rPr>
              <w:t xml:space="preserve">46457,6</w:t>
            </w:r>
          </w:p>
        </w:tc>
        <w:tc>
          <w:tcPr>
            <w:tcW w:w="1304" w:type="dxa"/>
          </w:tcPr>
          <w:p>
            <w:pPr>
              <w:pStyle w:val="0"/>
              <w:jc w:val="center"/>
            </w:pPr>
            <w:r>
              <w:rPr>
                <w:sz w:val="20"/>
              </w:rPr>
              <w:t xml:space="preserve">11073,3</w:t>
            </w:r>
          </w:p>
        </w:tc>
        <w:tc>
          <w:tcPr>
            <w:tcW w:w="1376" w:type="dxa"/>
          </w:tcPr>
          <w:p>
            <w:pPr>
              <w:pStyle w:val="0"/>
              <w:jc w:val="center"/>
            </w:pPr>
            <w:r>
              <w:rPr>
                <w:sz w:val="20"/>
              </w:rPr>
              <w:t xml:space="preserve">57530,9</w:t>
            </w:r>
          </w:p>
        </w:tc>
      </w:tr>
      <w:tr>
        <w:tc>
          <w:tcPr>
            <w:tcW w:w="1417" w:type="dxa"/>
          </w:tcPr>
          <w:p>
            <w:pPr>
              <w:pStyle w:val="0"/>
            </w:pPr>
            <w:r>
              <w:rPr>
                <w:sz w:val="20"/>
              </w:rPr>
              <w:t xml:space="preserve">Реализация инвестиционных проектов за счет привлечения инфраструктурных бюджетных кредитов из федерального бюджета</w:t>
            </w:r>
          </w:p>
        </w:tc>
        <w:tc>
          <w:tcPr>
            <w:tcW w:w="1374" w:type="dxa"/>
          </w:tcPr>
          <w:p>
            <w:pPr>
              <w:pStyle w:val="0"/>
            </w:pPr>
            <w:r>
              <w:rPr>
                <w:sz w:val="20"/>
              </w:rPr>
            </w:r>
          </w:p>
        </w:tc>
        <w:tc>
          <w:tcPr>
            <w:tcW w:w="1304" w:type="dxa"/>
          </w:tcPr>
          <w:p>
            <w:pPr>
              <w:pStyle w:val="0"/>
            </w:pPr>
            <w:r>
              <w:rPr>
                <w:sz w:val="20"/>
              </w:rPr>
            </w:r>
          </w:p>
        </w:tc>
        <w:tc>
          <w:tcPr>
            <w:tcW w:w="1374" w:type="dxa"/>
          </w:tcPr>
          <w:p>
            <w:pPr>
              <w:pStyle w:val="0"/>
            </w:pPr>
            <w:r>
              <w:rPr>
                <w:sz w:val="20"/>
              </w:rPr>
            </w:r>
          </w:p>
        </w:tc>
        <w:tc>
          <w:tcPr>
            <w:tcW w:w="1374" w:type="dxa"/>
          </w:tcPr>
          <w:p>
            <w:pPr>
              <w:pStyle w:val="0"/>
            </w:pPr>
            <w:r>
              <w:rPr>
                <w:sz w:val="20"/>
              </w:rPr>
            </w:r>
          </w:p>
        </w:tc>
        <w:tc>
          <w:tcPr>
            <w:tcW w:w="1304" w:type="dxa"/>
          </w:tcPr>
          <w:p>
            <w:pPr>
              <w:pStyle w:val="0"/>
              <w:jc w:val="center"/>
            </w:pPr>
            <w:r>
              <w:rPr>
                <w:sz w:val="20"/>
              </w:rPr>
              <w:t xml:space="preserve">1250403,0</w:t>
            </w:r>
          </w:p>
        </w:tc>
        <w:tc>
          <w:tcPr>
            <w:tcW w:w="1374" w:type="dxa"/>
          </w:tcPr>
          <w:p>
            <w:pPr>
              <w:pStyle w:val="0"/>
              <w:jc w:val="center"/>
            </w:pPr>
            <w:r>
              <w:rPr>
                <w:sz w:val="20"/>
              </w:rPr>
              <w:t xml:space="preserve">1250403,0</w:t>
            </w:r>
          </w:p>
        </w:tc>
        <w:tc>
          <w:tcPr>
            <w:tcW w:w="1374" w:type="dxa"/>
          </w:tcPr>
          <w:p>
            <w:pPr>
              <w:pStyle w:val="0"/>
            </w:pPr>
            <w:r>
              <w:rPr>
                <w:sz w:val="20"/>
              </w:rPr>
            </w:r>
          </w:p>
        </w:tc>
        <w:tc>
          <w:tcPr>
            <w:tcW w:w="1304" w:type="dxa"/>
          </w:tcPr>
          <w:p>
            <w:pPr>
              <w:pStyle w:val="0"/>
              <w:jc w:val="center"/>
            </w:pPr>
            <w:r>
              <w:rPr>
                <w:sz w:val="20"/>
              </w:rPr>
              <w:t xml:space="preserve">585000,0</w:t>
            </w:r>
          </w:p>
        </w:tc>
        <w:tc>
          <w:tcPr>
            <w:tcW w:w="1376" w:type="dxa"/>
          </w:tcPr>
          <w:p>
            <w:pPr>
              <w:pStyle w:val="0"/>
              <w:jc w:val="center"/>
            </w:pPr>
            <w:r>
              <w:rPr>
                <w:sz w:val="20"/>
              </w:rPr>
              <w:t xml:space="preserve">585000,0</w:t>
            </w:r>
          </w:p>
        </w:tc>
      </w:tr>
      <w:tr>
        <w:tc>
          <w:tcPr>
            <w:tcW w:w="1417" w:type="dxa"/>
          </w:tcPr>
          <w:p>
            <w:pPr>
              <w:pStyle w:val="0"/>
            </w:pPr>
            <w:r>
              <w:rPr>
                <w:sz w:val="20"/>
              </w:rPr>
              <w:t xml:space="preserve">ИТОГО</w:t>
            </w:r>
          </w:p>
        </w:tc>
        <w:tc>
          <w:tcPr>
            <w:tcW w:w="1374" w:type="dxa"/>
          </w:tcPr>
          <w:p>
            <w:pPr>
              <w:pStyle w:val="0"/>
              <w:jc w:val="center"/>
            </w:pPr>
            <w:r>
              <w:rPr>
                <w:sz w:val="20"/>
              </w:rPr>
              <w:t xml:space="preserve">85209965,1</w:t>
            </w:r>
          </w:p>
        </w:tc>
        <w:tc>
          <w:tcPr>
            <w:tcW w:w="1304" w:type="dxa"/>
          </w:tcPr>
          <w:p>
            <w:pPr>
              <w:pStyle w:val="0"/>
              <w:jc w:val="center"/>
            </w:pPr>
            <w:r>
              <w:rPr>
                <w:sz w:val="20"/>
              </w:rPr>
              <w:t xml:space="preserve">7515539,7</w:t>
            </w:r>
          </w:p>
        </w:tc>
        <w:tc>
          <w:tcPr>
            <w:tcW w:w="1374" w:type="dxa"/>
          </w:tcPr>
          <w:p>
            <w:pPr>
              <w:pStyle w:val="0"/>
              <w:jc w:val="center"/>
            </w:pPr>
            <w:r>
              <w:rPr>
                <w:sz w:val="20"/>
              </w:rPr>
              <w:t xml:space="preserve">92725504,8</w:t>
            </w:r>
          </w:p>
        </w:tc>
        <w:tc>
          <w:tcPr>
            <w:tcW w:w="1374" w:type="dxa"/>
          </w:tcPr>
          <w:p>
            <w:pPr>
              <w:pStyle w:val="0"/>
              <w:jc w:val="center"/>
            </w:pPr>
            <w:r>
              <w:rPr>
                <w:sz w:val="20"/>
              </w:rPr>
              <w:t xml:space="preserve">79165385,1</w:t>
            </w:r>
          </w:p>
        </w:tc>
        <w:tc>
          <w:tcPr>
            <w:tcW w:w="1304" w:type="dxa"/>
          </w:tcPr>
          <w:p>
            <w:pPr>
              <w:pStyle w:val="0"/>
              <w:jc w:val="center"/>
            </w:pPr>
            <w:r>
              <w:rPr>
                <w:sz w:val="20"/>
              </w:rPr>
              <w:t xml:space="preserve">9243285,6</w:t>
            </w:r>
          </w:p>
        </w:tc>
        <w:tc>
          <w:tcPr>
            <w:tcW w:w="1374" w:type="dxa"/>
          </w:tcPr>
          <w:p>
            <w:pPr>
              <w:pStyle w:val="0"/>
              <w:jc w:val="center"/>
            </w:pPr>
            <w:r>
              <w:rPr>
                <w:sz w:val="20"/>
              </w:rPr>
              <w:t xml:space="preserve">88408670,7</w:t>
            </w:r>
          </w:p>
        </w:tc>
        <w:tc>
          <w:tcPr>
            <w:tcW w:w="1374" w:type="dxa"/>
          </w:tcPr>
          <w:p>
            <w:pPr>
              <w:pStyle w:val="0"/>
              <w:jc w:val="center"/>
            </w:pPr>
            <w:r>
              <w:rPr>
                <w:sz w:val="20"/>
              </w:rPr>
              <w:t xml:space="preserve">77292632,7</w:t>
            </w:r>
          </w:p>
        </w:tc>
        <w:tc>
          <w:tcPr>
            <w:tcW w:w="1304" w:type="dxa"/>
          </w:tcPr>
          <w:p>
            <w:pPr>
              <w:pStyle w:val="0"/>
              <w:jc w:val="center"/>
            </w:pPr>
            <w:r>
              <w:rPr>
                <w:sz w:val="20"/>
              </w:rPr>
              <w:t xml:space="preserve">7928467,5</w:t>
            </w:r>
          </w:p>
        </w:tc>
        <w:tc>
          <w:tcPr>
            <w:tcW w:w="1376" w:type="dxa"/>
          </w:tcPr>
          <w:p>
            <w:pPr>
              <w:pStyle w:val="0"/>
              <w:jc w:val="center"/>
            </w:pPr>
            <w:r>
              <w:rPr>
                <w:sz w:val="20"/>
              </w:rPr>
              <w:t xml:space="preserve">85221100,2</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8</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1825" w:name="P1825"/>
    <w:bookmarkEnd w:id="1825"/>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 И ВНОВЬ</w:t>
      </w:r>
    </w:p>
    <w:p>
      <w:pPr>
        <w:pStyle w:val="2"/>
        <w:jc w:val="center"/>
      </w:pPr>
      <w:r>
        <w:rPr>
          <w:sz w:val="20"/>
        </w:rPr>
        <w:t xml:space="preserve">ПРИНИМАЕМЫХ ОБЯЗАТЕЛЬСТВ ВЛАДИМИРСКОЙ ОБЛАСТИ ПО РАЗДЕЛАМ</w:t>
      </w:r>
    </w:p>
    <w:p>
      <w:pPr>
        <w:pStyle w:val="2"/>
        <w:jc w:val="center"/>
      </w:pPr>
      <w:r>
        <w:rPr>
          <w:sz w:val="20"/>
        </w:rPr>
        <w:t xml:space="preserve">КЛАССИФИКАЦИИ РАСХОДОВ ОБЛАСТНОГО БЮДЖЕТА НА 2023 ГОД</w:t>
      </w:r>
    </w:p>
    <w:p>
      <w:pPr>
        <w:pStyle w:val="2"/>
        <w:jc w:val="center"/>
      </w:pPr>
      <w:r>
        <w:rPr>
          <w:sz w:val="20"/>
        </w:rPr>
        <w:t xml:space="preserve">И НА ПЛАНОВЫЙ ПЕРИОД 2024 И 2025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2721"/>
        <w:gridCol w:w="1417"/>
        <w:gridCol w:w="1304"/>
        <w:gridCol w:w="1417"/>
        <w:gridCol w:w="1417"/>
        <w:gridCol w:w="1304"/>
        <w:gridCol w:w="1417"/>
        <w:gridCol w:w="1417"/>
        <w:gridCol w:w="1304"/>
        <w:gridCol w:w="1417"/>
      </w:tblGrid>
      <w:tr>
        <w:tc>
          <w:tcPr>
            <w:tcW w:w="794" w:type="dxa"/>
            <w:vMerge w:val="restart"/>
          </w:tcPr>
          <w:p>
            <w:pPr>
              <w:pStyle w:val="0"/>
              <w:jc w:val="center"/>
            </w:pPr>
            <w:r>
              <w:rPr>
                <w:sz w:val="20"/>
              </w:rPr>
              <w:t xml:space="preserve">Код БК</w:t>
            </w:r>
          </w:p>
        </w:tc>
        <w:tc>
          <w:tcPr>
            <w:tcW w:w="2721" w:type="dxa"/>
            <w:vMerge w:val="restart"/>
          </w:tcPr>
          <w:p>
            <w:pPr>
              <w:pStyle w:val="0"/>
              <w:jc w:val="center"/>
            </w:pPr>
            <w:r>
              <w:rPr>
                <w:sz w:val="20"/>
              </w:rPr>
              <w:t xml:space="preserve">Наименование разделов классификации расходов бюджетов</w:t>
            </w:r>
          </w:p>
        </w:tc>
        <w:tc>
          <w:tcPr>
            <w:gridSpan w:val="9"/>
            <w:tcW w:w="12414" w:type="dxa"/>
          </w:tcPr>
          <w:p>
            <w:pPr>
              <w:pStyle w:val="0"/>
              <w:jc w:val="center"/>
            </w:pPr>
            <w:r>
              <w:rPr>
                <w:sz w:val="20"/>
              </w:rPr>
              <w:t xml:space="preserve">Предельные объемы в тыс. рублей</w:t>
            </w:r>
          </w:p>
        </w:tc>
      </w:tr>
      <w:tr>
        <w:tc>
          <w:tcPr>
            <w:vMerge w:val="continue"/>
          </w:tcPr>
          <w:p/>
        </w:tc>
        <w:tc>
          <w:tcPr>
            <w:vMerge w:val="continue"/>
          </w:tcPr>
          <w:p/>
        </w:tc>
        <w:tc>
          <w:tcPr>
            <w:gridSpan w:val="3"/>
            <w:tcW w:w="4138" w:type="dxa"/>
          </w:tcPr>
          <w:p>
            <w:pPr>
              <w:pStyle w:val="0"/>
              <w:jc w:val="center"/>
            </w:pPr>
            <w:r>
              <w:rPr>
                <w:sz w:val="20"/>
              </w:rPr>
              <w:t xml:space="preserve">2023 год</w:t>
            </w:r>
          </w:p>
        </w:tc>
        <w:tc>
          <w:tcPr>
            <w:gridSpan w:val="3"/>
            <w:tcW w:w="4138" w:type="dxa"/>
          </w:tcPr>
          <w:p>
            <w:pPr>
              <w:pStyle w:val="0"/>
              <w:jc w:val="center"/>
            </w:pPr>
            <w:r>
              <w:rPr>
                <w:sz w:val="20"/>
              </w:rPr>
              <w:t xml:space="preserve">2024 год</w:t>
            </w:r>
          </w:p>
        </w:tc>
        <w:tc>
          <w:tcPr>
            <w:gridSpan w:val="3"/>
            <w:tcW w:w="4138" w:type="dxa"/>
          </w:tcPr>
          <w:p>
            <w:pPr>
              <w:pStyle w:val="0"/>
              <w:jc w:val="center"/>
            </w:pPr>
            <w:r>
              <w:rPr>
                <w:sz w:val="20"/>
              </w:rPr>
              <w:t xml:space="preserve">2025 год</w:t>
            </w:r>
          </w:p>
        </w:tc>
      </w:tr>
      <w:tr>
        <w:tc>
          <w:tcPr>
            <w:vMerge w:val="continue"/>
          </w:tcPr>
          <w:p/>
        </w:tc>
        <w:tc>
          <w:tcPr>
            <w:vMerge w:val="continue"/>
          </w:tcPr>
          <w:p/>
        </w:tc>
        <w:tc>
          <w:tcPr>
            <w:tcW w:w="1417"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417" w:type="dxa"/>
          </w:tcPr>
          <w:p>
            <w:pPr>
              <w:pStyle w:val="0"/>
              <w:jc w:val="center"/>
            </w:pPr>
            <w:r>
              <w:rPr>
                <w:sz w:val="20"/>
              </w:rPr>
              <w:t xml:space="preserve">всего</w:t>
            </w:r>
          </w:p>
        </w:tc>
        <w:tc>
          <w:tcPr>
            <w:tcW w:w="1417"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417" w:type="dxa"/>
          </w:tcPr>
          <w:p>
            <w:pPr>
              <w:pStyle w:val="0"/>
              <w:jc w:val="center"/>
            </w:pPr>
            <w:r>
              <w:rPr>
                <w:sz w:val="20"/>
              </w:rPr>
              <w:t xml:space="preserve">всего</w:t>
            </w:r>
          </w:p>
        </w:tc>
        <w:tc>
          <w:tcPr>
            <w:tcW w:w="1417" w:type="dxa"/>
          </w:tcPr>
          <w:p>
            <w:pPr>
              <w:pStyle w:val="0"/>
              <w:jc w:val="center"/>
            </w:pPr>
            <w:r>
              <w:rPr>
                <w:sz w:val="20"/>
              </w:rPr>
              <w:t xml:space="preserve">действующие расходные обязательства</w:t>
            </w:r>
          </w:p>
        </w:tc>
        <w:tc>
          <w:tcPr>
            <w:tcW w:w="1304" w:type="dxa"/>
          </w:tcPr>
          <w:p>
            <w:pPr>
              <w:pStyle w:val="0"/>
              <w:jc w:val="center"/>
            </w:pPr>
            <w:r>
              <w:rPr>
                <w:sz w:val="20"/>
              </w:rPr>
              <w:t xml:space="preserve">вновь принимаемые расходные обязательства</w:t>
            </w:r>
          </w:p>
        </w:tc>
        <w:tc>
          <w:tcPr>
            <w:tcW w:w="1417" w:type="dxa"/>
          </w:tcPr>
          <w:p>
            <w:pPr>
              <w:pStyle w:val="0"/>
              <w:jc w:val="center"/>
            </w:pPr>
            <w:r>
              <w:rPr>
                <w:sz w:val="20"/>
              </w:rPr>
              <w:t xml:space="preserve">всего</w:t>
            </w:r>
          </w:p>
        </w:tc>
      </w:tr>
      <w:tr>
        <w:tc>
          <w:tcPr>
            <w:tcW w:w="794" w:type="dxa"/>
          </w:tcPr>
          <w:p>
            <w:pPr>
              <w:pStyle w:val="0"/>
              <w:jc w:val="center"/>
            </w:pPr>
            <w:r>
              <w:rPr>
                <w:sz w:val="20"/>
              </w:rPr>
              <w:t xml:space="preserve">0100</w:t>
            </w:r>
          </w:p>
        </w:tc>
        <w:tc>
          <w:tcPr>
            <w:tcW w:w="2721" w:type="dxa"/>
          </w:tcPr>
          <w:p>
            <w:pPr>
              <w:pStyle w:val="0"/>
            </w:pPr>
            <w:r>
              <w:rPr>
                <w:sz w:val="20"/>
              </w:rPr>
              <w:t xml:space="preserve">Общегосударственные вопросы</w:t>
            </w:r>
          </w:p>
        </w:tc>
        <w:tc>
          <w:tcPr>
            <w:tcW w:w="1417" w:type="dxa"/>
          </w:tcPr>
          <w:p>
            <w:pPr>
              <w:pStyle w:val="0"/>
              <w:jc w:val="center"/>
            </w:pPr>
            <w:r>
              <w:rPr>
                <w:sz w:val="20"/>
              </w:rPr>
              <w:t xml:space="preserve">1959919,8</w:t>
            </w:r>
          </w:p>
        </w:tc>
        <w:tc>
          <w:tcPr>
            <w:tcW w:w="1304" w:type="dxa"/>
          </w:tcPr>
          <w:p>
            <w:pPr>
              <w:pStyle w:val="0"/>
              <w:jc w:val="center"/>
            </w:pPr>
            <w:r>
              <w:rPr>
                <w:sz w:val="20"/>
              </w:rPr>
              <w:t xml:space="preserve">2208368,9</w:t>
            </w:r>
          </w:p>
        </w:tc>
        <w:tc>
          <w:tcPr>
            <w:tcW w:w="1417" w:type="dxa"/>
          </w:tcPr>
          <w:p>
            <w:pPr>
              <w:pStyle w:val="0"/>
              <w:jc w:val="center"/>
            </w:pPr>
            <w:r>
              <w:rPr>
                <w:sz w:val="20"/>
              </w:rPr>
              <w:t xml:space="preserve">4168288,7</w:t>
            </w:r>
          </w:p>
        </w:tc>
        <w:tc>
          <w:tcPr>
            <w:tcW w:w="1417" w:type="dxa"/>
          </w:tcPr>
          <w:p>
            <w:pPr>
              <w:pStyle w:val="0"/>
              <w:jc w:val="center"/>
            </w:pPr>
            <w:r>
              <w:rPr>
                <w:sz w:val="20"/>
              </w:rPr>
              <w:t xml:space="preserve">1689736,7</w:t>
            </w:r>
          </w:p>
        </w:tc>
        <w:tc>
          <w:tcPr>
            <w:tcW w:w="1304" w:type="dxa"/>
          </w:tcPr>
          <w:p>
            <w:pPr>
              <w:pStyle w:val="0"/>
              <w:jc w:val="center"/>
            </w:pPr>
            <w:r>
              <w:rPr>
                <w:sz w:val="20"/>
              </w:rPr>
              <w:t xml:space="preserve">1958368,9</w:t>
            </w:r>
          </w:p>
        </w:tc>
        <w:tc>
          <w:tcPr>
            <w:tcW w:w="1417" w:type="dxa"/>
          </w:tcPr>
          <w:p>
            <w:pPr>
              <w:pStyle w:val="0"/>
              <w:jc w:val="center"/>
            </w:pPr>
            <w:r>
              <w:rPr>
                <w:sz w:val="20"/>
              </w:rPr>
              <w:t xml:space="preserve">3648105,6</w:t>
            </w:r>
          </w:p>
        </w:tc>
        <w:tc>
          <w:tcPr>
            <w:tcW w:w="1417" w:type="dxa"/>
          </w:tcPr>
          <w:p>
            <w:pPr>
              <w:pStyle w:val="0"/>
              <w:jc w:val="center"/>
            </w:pPr>
            <w:r>
              <w:rPr>
                <w:sz w:val="20"/>
              </w:rPr>
              <w:t xml:space="preserve">1680068,7</w:t>
            </w:r>
          </w:p>
        </w:tc>
        <w:tc>
          <w:tcPr>
            <w:tcW w:w="1304" w:type="dxa"/>
          </w:tcPr>
          <w:p>
            <w:pPr>
              <w:pStyle w:val="0"/>
              <w:jc w:val="center"/>
            </w:pPr>
            <w:r>
              <w:rPr>
                <w:sz w:val="20"/>
              </w:rPr>
              <w:t xml:space="preserve">1942445,0</w:t>
            </w:r>
          </w:p>
        </w:tc>
        <w:tc>
          <w:tcPr>
            <w:tcW w:w="1417" w:type="dxa"/>
          </w:tcPr>
          <w:p>
            <w:pPr>
              <w:pStyle w:val="0"/>
              <w:jc w:val="center"/>
            </w:pPr>
            <w:r>
              <w:rPr>
                <w:sz w:val="20"/>
              </w:rPr>
              <w:t xml:space="preserve">3622513,7</w:t>
            </w:r>
          </w:p>
        </w:tc>
      </w:tr>
      <w:tr>
        <w:tc>
          <w:tcPr>
            <w:tcW w:w="794" w:type="dxa"/>
          </w:tcPr>
          <w:p>
            <w:pPr>
              <w:pStyle w:val="0"/>
              <w:jc w:val="center"/>
            </w:pPr>
            <w:r>
              <w:rPr>
                <w:sz w:val="20"/>
              </w:rPr>
              <w:t xml:space="preserve">0200</w:t>
            </w:r>
          </w:p>
        </w:tc>
        <w:tc>
          <w:tcPr>
            <w:tcW w:w="2721" w:type="dxa"/>
          </w:tcPr>
          <w:p>
            <w:pPr>
              <w:pStyle w:val="0"/>
            </w:pPr>
            <w:r>
              <w:rPr>
                <w:sz w:val="20"/>
              </w:rPr>
              <w:t xml:space="preserve">Национальная оборона</w:t>
            </w:r>
          </w:p>
        </w:tc>
        <w:tc>
          <w:tcPr>
            <w:tcW w:w="1417" w:type="dxa"/>
          </w:tcPr>
          <w:p>
            <w:pPr>
              <w:pStyle w:val="0"/>
              <w:jc w:val="center"/>
            </w:pPr>
            <w:r>
              <w:rPr>
                <w:sz w:val="20"/>
              </w:rPr>
              <w:t xml:space="preserve">23978,4</w:t>
            </w:r>
          </w:p>
        </w:tc>
        <w:tc>
          <w:tcPr>
            <w:tcW w:w="1304" w:type="dxa"/>
          </w:tcPr>
          <w:p>
            <w:pPr>
              <w:pStyle w:val="0"/>
              <w:jc w:val="center"/>
            </w:pPr>
            <w:r>
              <w:rPr>
                <w:sz w:val="20"/>
              </w:rPr>
              <w:t xml:space="preserve">0,0</w:t>
            </w:r>
          </w:p>
        </w:tc>
        <w:tc>
          <w:tcPr>
            <w:tcW w:w="1417" w:type="dxa"/>
          </w:tcPr>
          <w:p>
            <w:pPr>
              <w:pStyle w:val="0"/>
              <w:jc w:val="center"/>
            </w:pPr>
            <w:r>
              <w:rPr>
                <w:sz w:val="20"/>
              </w:rPr>
              <w:t xml:space="preserve">23978,4</w:t>
            </w:r>
          </w:p>
        </w:tc>
        <w:tc>
          <w:tcPr>
            <w:tcW w:w="1417" w:type="dxa"/>
          </w:tcPr>
          <w:p>
            <w:pPr>
              <w:pStyle w:val="0"/>
              <w:jc w:val="center"/>
            </w:pPr>
            <w:r>
              <w:rPr>
                <w:sz w:val="20"/>
              </w:rPr>
              <w:t xml:space="preserve">24768,8</w:t>
            </w:r>
          </w:p>
        </w:tc>
        <w:tc>
          <w:tcPr>
            <w:tcW w:w="1304" w:type="dxa"/>
          </w:tcPr>
          <w:p>
            <w:pPr>
              <w:pStyle w:val="0"/>
              <w:jc w:val="center"/>
            </w:pPr>
            <w:r>
              <w:rPr>
                <w:sz w:val="20"/>
              </w:rPr>
              <w:t xml:space="preserve">0,0</w:t>
            </w:r>
          </w:p>
        </w:tc>
        <w:tc>
          <w:tcPr>
            <w:tcW w:w="1417" w:type="dxa"/>
          </w:tcPr>
          <w:p>
            <w:pPr>
              <w:pStyle w:val="0"/>
              <w:jc w:val="center"/>
            </w:pPr>
            <w:r>
              <w:rPr>
                <w:sz w:val="20"/>
              </w:rPr>
              <w:t xml:space="preserve">24768,8</w:t>
            </w:r>
          </w:p>
        </w:tc>
        <w:tc>
          <w:tcPr>
            <w:tcW w:w="1417" w:type="dxa"/>
          </w:tcPr>
          <w:p>
            <w:pPr>
              <w:pStyle w:val="0"/>
              <w:jc w:val="center"/>
            </w:pPr>
            <w:r>
              <w:rPr>
                <w:sz w:val="20"/>
              </w:rPr>
              <w:t xml:space="preserve">24768,8</w:t>
            </w:r>
          </w:p>
        </w:tc>
        <w:tc>
          <w:tcPr>
            <w:tcW w:w="1304" w:type="dxa"/>
          </w:tcPr>
          <w:p>
            <w:pPr>
              <w:pStyle w:val="0"/>
              <w:jc w:val="center"/>
            </w:pPr>
            <w:r>
              <w:rPr>
                <w:sz w:val="20"/>
              </w:rPr>
              <w:t xml:space="preserve">0,0</w:t>
            </w:r>
          </w:p>
        </w:tc>
        <w:tc>
          <w:tcPr>
            <w:tcW w:w="1417" w:type="dxa"/>
          </w:tcPr>
          <w:p>
            <w:pPr>
              <w:pStyle w:val="0"/>
              <w:jc w:val="center"/>
            </w:pPr>
            <w:r>
              <w:rPr>
                <w:sz w:val="20"/>
              </w:rPr>
              <w:t xml:space="preserve">24768,8</w:t>
            </w:r>
          </w:p>
        </w:tc>
      </w:tr>
      <w:tr>
        <w:tc>
          <w:tcPr>
            <w:tcW w:w="794" w:type="dxa"/>
          </w:tcPr>
          <w:p>
            <w:pPr>
              <w:pStyle w:val="0"/>
              <w:jc w:val="center"/>
            </w:pPr>
            <w:r>
              <w:rPr>
                <w:sz w:val="20"/>
              </w:rPr>
              <w:t xml:space="preserve">0300</w:t>
            </w:r>
          </w:p>
        </w:tc>
        <w:tc>
          <w:tcPr>
            <w:tcW w:w="2721" w:type="dxa"/>
          </w:tcPr>
          <w:p>
            <w:pPr>
              <w:pStyle w:val="0"/>
            </w:pPr>
            <w:r>
              <w:rPr>
                <w:sz w:val="20"/>
              </w:rPr>
              <w:t xml:space="preserve">Национальная безопасность и правоохранительная деятельность</w:t>
            </w:r>
          </w:p>
        </w:tc>
        <w:tc>
          <w:tcPr>
            <w:tcW w:w="1417" w:type="dxa"/>
          </w:tcPr>
          <w:p>
            <w:pPr>
              <w:pStyle w:val="0"/>
              <w:jc w:val="center"/>
            </w:pPr>
            <w:r>
              <w:rPr>
                <w:sz w:val="20"/>
              </w:rPr>
              <w:t xml:space="preserve">315494,0</w:t>
            </w:r>
          </w:p>
        </w:tc>
        <w:tc>
          <w:tcPr>
            <w:tcW w:w="1304" w:type="dxa"/>
          </w:tcPr>
          <w:p>
            <w:pPr>
              <w:pStyle w:val="0"/>
              <w:jc w:val="center"/>
            </w:pPr>
            <w:r>
              <w:rPr>
                <w:sz w:val="20"/>
              </w:rPr>
              <w:t xml:space="preserve">67877,4</w:t>
            </w:r>
          </w:p>
        </w:tc>
        <w:tc>
          <w:tcPr>
            <w:tcW w:w="1417" w:type="dxa"/>
          </w:tcPr>
          <w:p>
            <w:pPr>
              <w:pStyle w:val="0"/>
              <w:jc w:val="center"/>
            </w:pPr>
            <w:r>
              <w:rPr>
                <w:sz w:val="20"/>
              </w:rPr>
              <w:t xml:space="preserve">383371,4</w:t>
            </w:r>
          </w:p>
        </w:tc>
        <w:tc>
          <w:tcPr>
            <w:tcW w:w="1417" w:type="dxa"/>
          </w:tcPr>
          <w:p>
            <w:pPr>
              <w:pStyle w:val="0"/>
              <w:jc w:val="center"/>
            </w:pPr>
            <w:r>
              <w:rPr>
                <w:sz w:val="20"/>
              </w:rPr>
              <w:t xml:space="preserve">317967,2</w:t>
            </w:r>
          </w:p>
        </w:tc>
        <w:tc>
          <w:tcPr>
            <w:tcW w:w="1304" w:type="dxa"/>
          </w:tcPr>
          <w:p>
            <w:pPr>
              <w:pStyle w:val="0"/>
              <w:jc w:val="center"/>
            </w:pPr>
            <w:r>
              <w:rPr>
                <w:sz w:val="20"/>
              </w:rPr>
              <w:t xml:space="preserve">67939,3</w:t>
            </w:r>
          </w:p>
        </w:tc>
        <w:tc>
          <w:tcPr>
            <w:tcW w:w="1417" w:type="dxa"/>
          </w:tcPr>
          <w:p>
            <w:pPr>
              <w:pStyle w:val="0"/>
              <w:jc w:val="center"/>
            </w:pPr>
            <w:r>
              <w:rPr>
                <w:sz w:val="20"/>
              </w:rPr>
              <w:t xml:space="preserve">385906,5</w:t>
            </w:r>
          </w:p>
        </w:tc>
        <w:tc>
          <w:tcPr>
            <w:tcW w:w="1417" w:type="dxa"/>
          </w:tcPr>
          <w:p>
            <w:pPr>
              <w:pStyle w:val="0"/>
              <w:jc w:val="center"/>
            </w:pPr>
            <w:r>
              <w:rPr>
                <w:sz w:val="20"/>
              </w:rPr>
              <w:t xml:space="preserve">317967,2</w:t>
            </w:r>
          </w:p>
        </w:tc>
        <w:tc>
          <w:tcPr>
            <w:tcW w:w="1304" w:type="dxa"/>
          </w:tcPr>
          <w:p>
            <w:pPr>
              <w:pStyle w:val="0"/>
              <w:jc w:val="center"/>
            </w:pPr>
            <w:r>
              <w:rPr>
                <w:sz w:val="20"/>
              </w:rPr>
              <w:t xml:space="preserve">67939,3</w:t>
            </w:r>
          </w:p>
        </w:tc>
        <w:tc>
          <w:tcPr>
            <w:tcW w:w="1417" w:type="dxa"/>
          </w:tcPr>
          <w:p>
            <w:pPr>
              <w:pStyle w:val="0"/>
              <w:jc w:val="center"/>
            </w:pPr>
            <w:r>
              <w:rPr>
                <w:sz w:val="20"/>
              </w:rPr>
              <w:t xml:space="preserve">385906,5</w:t>
            </w:r>
          </w:p>
        </w:tc>
      </w:tr>
      <w:tr>
        <w:tc>
          <w:tcPr>
            <w:tcW w:w="794" w:type="dxa"/>
          </w:tcPr>
          <w:p>
            <w:pPr>
              <w:pStyle w:val="0"/>
              <w:jc w:val="center"/>
            </w:pPr>
            <w:r>
              <w:rPr>
                <w:sz w:val="20"/>
              </w:rPr>
              <w:t xml:space="preserve">0400</w:t>
            </w:r>
          </w:p>
        </w:tc>
        <w:tc>
          <w:tcPr>
            <w:tcW w:w="2721" w:type="dxa"/>
          </w:tcPr>
          <w:p>
            <w:pPr>
              <w:pStyle w:val="0"/>
            </w:pPr>
            <w:r>
              <w:rPr>
                <w:sz w:val="20"/>
              </w:rPr>
              <w:t xml:space="preserve">Национальная экономика</w:t>
            </w:r>
          </w:p>
        </w:tc>
        <w:tc>
          <w:tcPr>
            <w:tcW w:w="1417" w:type="dxa"/>
          </w:tcPr>
          <w:p>
            <w:pPr>
              <w:pStyle w:val="0"/>
              <w:jc w:val="center"/>
            </w:pPr>
            <w:r>
              <w:rPr>
                <w:sz w:val="20"/>
              </w:rPr>
              <w:t xml:space="preserve">12975082,7</w:t>
            </w:r>
          </w:p>
        </w:tc>
        <w:tc>
          <w:tcPr>
            <w:tcW w:w="1304" w:type="dxa"/>
          </w:tcPr>
          <w:p>
            <w:pPr>
              <w:pStyle w:val="0"/>
              <w:jc w:val="center"/>
            </w:pPr>
            <w:r>
              <w:rPr>
                <w:sz w:val="20"/>
              </w:rPr>
              <w:t xml:space="preserve">232918,9</w:t>
            </w:r>
          </w:p>
        </w:tc>
        <w:tc>
          <w:tcPr>
            <w:tcW w:w="1417" w:type="dxa"/>
          </w:tcPr>
          <w:p>
            <w:pPr>
              <w:pStyle w:val="0"/>
              <w:jc w:val="center"/>
            </w:pPr>
            <w:r>
              <w:rPr>
                <w:sz w:val="20"/>
              </w:rPr>
              <w:t xml:space="preserve">13208001,6</w:t>
            </w:r>
          </w:p>
        </w:tc>
        <w:tc>
          <w:tcPr>
            <w:tcW w:w="1417" w:type="dxa"/>
          </w:tcPr>
          <w:p>
            <w:pPr>
              <w:pStyle w:val="0"/>
              <w:jc w:val="center"/>
            </w:pPr>
            <w:r>
              <w:rPr>
                <w:sz w:val="20"/>
              </w:rPr>
              <w:t xml:space="preserve">13302509,1</w:t>
            </w:r>
          </w:p>
        </w:tc>
        <w:tc>
          <w:tcPr>
            <w:tcW w:w="1304" w:type="dxa"/>
          </w:tcPr>
          <w:p>
            <w:pPr>
              <w:pStyle w:val="0"/>
              <w:jc w:val="center"/>
            </w:pPr>
            <w:r>
              <w:rPr>
                <w:sz w:val="20"/>
              </w:rPr>
              <w:t xml:space="preserve">233018,9</w:t>
            </w:r>
          </w:p>
        </w:tc>
        <w:tc>
          <w:tcPr>
            <w:tcW w:w="1417" w:type="dxa"/>
          </w:tcPr>
          <w:p>
            <w:pPr>
              <w:pStyle w:val="0"/>
              <w:jc w:val="center"/>
            </w:pPr>
            <w:r>
              <w:rPr>
                <w:sz w:val="20"/>
              </w:rPr>
              <w:t xml:space="preserve">13535528,0</w:t>
            </w:r>
          </w:p>
        </w:tc>
        <w:tc>
          <w:tcPr>
            <w:tcW w:w="1417" w:type="dxa"/>
          </w:tcPr>
          <w:p>
            <w:pPr>
              <w:pStyle w:val="0"/>
              <w:jc w:val="center"/>
            </w:pPr>
            <w:r>
              <w:rPr>
                <w:sz w:val="20"/>
              </w:rPr>
              <w:t xml:space="preserve">11970251,7</w:t>
            </w:r>
          </w:p>
        </w:tc>
        <w:tc>
          <w:tcPr>
            <w:tcW w:w="1304" w:type="dxa"/>
          </w:tcPr>
          <w:p>
            <w:pPr>
              <w:pStyle w:val="0"/>
              <w:jc w:val="center"/>
            </w:pPr>
            <w:r>
              <w:rPr>
                <w:sz w:val="20"/>
              </w:rPr>
              <w:t xml:space="preserve">232918,9</w:t>
            </w:r>
          </w:p>
        </w:tc>
        <w:tc>
          <w:tcPr>
            <w:tcW w:w="1417" w:type="dxa"/>
          </w:tcPr>
          <w:p>
            <w:pPr>
              <w:pStyle w:val="0"/>
              <w:jc w:val="center"/>
            </w:pPr>
            <w:r>
              <w:rPr>
                <w:sz w:val="20"/>
              </w:rPr>
              <w:t xml:space="preserve">12203170,6</w:t>
            </w:r>
          </w:p>
        </w:tc>
      </w:tr>
      <w:tr>
        <w:tc>
          <w:tcPr>
            <w:tcW w:w="794" w:type="dxa"/>
          </w:tcPr>
          <w:p>
            <w:pPr>
              <w:pStyle w:val="0"/>
              <w:jc w:val="center"/>
            </w:pPr>
            <w:r>
              <w:rPr>
                <w:sz w:val="20"/>
              </w:rPr>
              <w:t xml:space="preserve">0500</w:t>
            </w:r>
          </w:p>
        </w:tc>
        <w:tc>
          <w:tcPr>
            <w:tcW w:w="2721" w:type="dxa"/>
          </w:tcPr>
          <w:p>
            <w:pPr>
              <w:pStyle w:val="0"/>
            </w:pPr>
            <w:r>
              <w:rPr>
                <w:sz w:val="20"/>
              </w:rPr>
              <w:t xml:space="preserve">Жилищно-коммунальное хозяйство</w:t>
            </w:r>
          </w:p>
        </w:tc>
        <w:tc>
          <w:tcPr>
            <w:tcW w:w="1417" w:type="dxa"/>
          </w:tcPr>
          <w:p>
            <w:pPr>
              <w:pStyle w:val="0"/>
              <w:jc w:val="center"/>
            </w:pPr>
            <w:r>
              <w:rPr>
                <w:sz w:val="20"/>
              </w:rPr>
              <w:t xml:space="preserve">3913228,4</w:t>
            </w:r>
          </w:p>
        </w:tc>
        <w:tc>
          <w:tcPr>
            <w:tcW w:w="1304" w:type="dxa"/>
          </w:tcPr>
          <w:p>
            <w:pPr>
              <w:pStyle w:val="0"/>
              <w:jc w:val="center"/>
            </w:pPr>
            <w:r>
              <w:rPr>
                <w:sz w:val="20"/>
              </w:rPr>
              <w:t xml:space="preserve">30293,3</w:t>
            </w:r>
          </w:p>
        </w:tc>
        <w:tc>
          <w:tcPr>
            <w:tcW w:w="1417" w:type="dxa"/>
          </w:tcPr>
          <w:p>
            <w:pPr>
              <w:pStyle w:val="0"/>
              <w:jc w:val="center"/>
            </w:pPr>
            <w:r>
              <w:rPr>
                <w:sz w:val="20"/>
              </w:rPr>
              <w:t xml:space="preserve">3943521,7</w:t>
            </w:r>
          </w:p>
        </w:tc>
        <w:tc>
          <w:tcPr>
            <w:tcW w:w="1417" w:type="dxa"/>
          </w:tcPr>
          <w:p>
            <w:pPr>
              <w:pStyle w:val="0"/>
              <w:jc w:val="center"/>
            </w:pPr>
            <w:r>
              <w:rPr>
                <w:sz w:val="20"/>
              </w:rPr>
              <w:t xml:space="preserve">2009079,2</w:t>
            </w:r>
          </w:p>
        </w:tc>
        <w:tc>
          <w:tcPr>
            <w:tcW w:w="1304" w:type="dxa"/>
          </w:tcPr>
          <w:p>
            <w:pPr>
              <w:pStyle w:val="0"/>
              <w:jc w:val="center"/>
            </w:pPr>
            <w:r>
              <w:rPr>
                <w:sz w:val="20"/>
              </w:rPr>
              <w:t xml:space="preserve">30293,3</w:t>
            </w:r>
          </w:p>
        </w:tc>
        <w:tc>
          <w:tcPr>
            <w:tcW w:w="1417" w:type="dxa"/>
          </w:tcPr>
          <w:p>
            <w:pPr>
              <w:pStyle w:val="0"/>
              <w:jc w:val="center"/>
            </w:pPr>
            <w:r>
              <w:rPr>
                <w:sz w:val="20"/>
              </w:rPr>
              <w:t xml:space="preserve">2039372,5</w:t>
            </w:r>
          </w:p>
        </w:tc>
        <w:tc>
          <w:tcPr>
            <w:tcW w:w="1417" w:type="dxa"/>
          </w:tcPr>
          <w:p>
            <w:pPr>
              <w:pStyle w:val="0"/>
              <w:jc w:val="center"/>
            </w:pPr>
            <w:r>
              <w:rPr>
                <w:sz w:val="20"/>
              </w:rPr>
              <w:t xml:space="preserve">2747496,2</w:t>
            </w:r>
          </w:p>
        </w:tc>
        <w:tc>
          <w:tcPr>
            <w:tcW w:w="1304" w:type="dxa"/>
          </w:tcPr>
          <w:p>
            <w:pPr>
              <w:pStyle w:val="0"/>
              <w:jc w:val="center"/>
            </w:pPr>
            <w:r>
              <w:rPr>
                <w:sz w:val="20"/>
              </w:rPr>
              <w:t xml:space="preserve">30293,3</w:t>
            </w:r>
          </w:p>
        </w:tc>
        <w:tc>
          <w:tcPr>
            <w:tcW w:w="1417" w:type="dxa"/>
          </w:tcPr>
          <w:p>
            <w:pPr>
              <w:pStyle w:val="0"/>
              <w:jc w:val="center"/>
            </w:pPr>
            <w:r>
              <w:rPr>
                <w:sz w:val="20"/>
              </w:rPr>
              <w:t xml:space="preserve">2777789,5</w:t>
            </w:r>
          </w:p>
        </w:tc>
      </w:tr>
      <w:tr>
        <w:tc>
          <w:tcPr>
            <w:tcW w:w="794" w:type="dxa"/>
          </w:tcPr>
          <w:p>
            <w:pPr>
              <w:pStyle w:val="0"/>
              <w:jc w:val="center"/>
            </w:pPr>
            <w:r>
              <w:rPr>
                <w:sz w:val="20"/>
              </w:rPr>
              <w:t xml:space="preserve">0600</w:t>
            </w:r>
          </w:p>
        </w:tc>
        <w:tc>
          <w:tcPr>
            <w:tcW w:w="2721" w:type="dxa"/>
          </w:tcPr>
          <w:p>
            <w:pPr>
              <w:pStyle w:val="0"/>
            </w:pPr>
            <w:r>
              <w:rPr>
                <w:sz w:val="20"/>
              </w:rPr>
              <w:t xml:space="preserve">Охрана окружающей среды</w:t>
            </w:r>
          </w:p>
        </w:tc>
        <w:tc>
          <w:tcPr>
            <w:tcW w:w="1417" w:type="dxa"/>
          </w:tcPr>
          <w:p>
            <w:pPr>
              <w:pStyle w:val="0"/>
              <w:jc w:val="center"/>
            </w:pPr>
            <w:r>
              <w:rPr>
                <w:sz w:val="20"/>
              </w:rPr>
              <w:t xml:space="preserve">125210,5</w:t>
            </w:r>
          </w:p>
        </w:tc>
        <w:tc>
          <w:tcPr>
            <w:tcW w:w="1304" w:type="dxa"/>
          </w:tcPr>
          <w:p>
            <w:pPr>
              <w:pStyle w:val="0"/>
              <w:jc w:val="center"/>
            </w:pPr>
            <w:r>
              <w:rPr>
                <w:sz w:val="20"/>
              </w:rPr>
              <w:t xml:space="preserve">28329,2</w:t>
            </w:r>
          </w:p>
        </w:tc>
        <w:tc>
          <w:tcPr>
            <w:tcW w:w="1417" w:type="dxa"/>
          </w:tcPr>
          <w:p>
            <w:pPr>
              <w:pStyle w:val="0"/>
              <w:jc w:val="center"/>
            </w:pPr>
            <w:r>
              <w:rPr>
                <w:sz w:val="20"/>
              </w:rPr>
              <w:t xml:space="preserve">153539,7</w:t>
            </w:r>
          </w:p>
        </w:tc>
        <w:tc>
          <w:tcPr>
            <w:tcW w:w="1417" w:type="dxa"/>
          </w:tcPr>
          <w:p>
            <w:pPr>
              <w:pStyle w:val="0"/>
              <w:jc w:val="center"/>
            </w:pPr>
            <w:r>
              <w:rPr>
                <w:sz w:val="20"/>
              </w:rPr>
              <w:t xml:space="preserve">141359,6</w:t>
            </w:r>
          </w:p>
        </w:tc>
        <w:tc>
          <w:tcPr>
            <w:tcW w:w="1304" w:type="dxa"/>
          </w:tcPr>
          <w:p>
            <w:pPr>
              <w:pStyle w:val="0"/>
              <w:jc w:val="center"/>
            </w:pPr>
            <w:r>
              <w:rPr>
                <w:sz w:val="20"/>
              </w:rPr>
              <w:t xml:space="preserve">28329,2</w:t>
            </w:r>
          </w:p>
        </w:tc>
        <w:tc>
          <w:tcPr>
            <w:tcW w:w="1417" w:type="dxa"/>
          </w:tcPr>
          <w:p>
            <w:pPr>
              <w:pStyle w:val="0"/>
              <w:jc w:val="center"/>
            </w:pPr>
            <w:r>
              <w:rPr>
                <w:sz w:val="20"/>
              </w:rPr>
              <w:t xml:space="preserve">169688,8</w:t>
            </w:r>
          </w:p>
        </w:tc>
        <w:tc>
          <w:tcPr>
            <w:tcW w:w="1417" w:type="dxa"/>
          </w:tcPr>
          <w:p>
            <w:pPr>
              <w:pStyle w:val="0"/>
              <w:jc w:val="center"/>
            </w:pPr>
            <w:r>
              <w:rPr>
                <w:sz w:val="20"/>
              </w:rPr>
              <w:t xml:space="preserve">141359,6</w:t>
            </w:r>
          </w:p>
        </w:tc>
        <w:tc>
          <w:tcPr>
            <w:tcW w:w="1304" w:type="dxa"/>
          </w:tcPr>
          <w:p>
            <w:pPr>
              <w:pStyle w:val="0"/>
              <w:jc w:val="center"/>
            </w:pPr>
            <w:r>
              <w:rPr>
                <w:sz w:val="20"/>
              </w:rPr>
              <w:t xml:space="preserve">28050,4</w:t>
            </w:r>
          </w:p>
        </w:tc>
        <w:tc>
          <w:tcPr>
            <w:tcW w:w="1417" w:type="dxa"/>
          </w:tcPr>
          <w:p>
            <w:pPr>
              <w:pStyle w:val="0"/>
              <w:jc w:val="center"/>
            </w:pPr>
            <w:r>
              <w:rPr>
                <w:sz w:val="20"/>
              </w:rPr>
              <w:t xml:space="preserve">169410,0</w:t>
            </w:r>
          </w:p>
        </w:tc>
      </w:tr>
      <w:tr>
        <w:tc>
          <w:tcPr>
            <w:tcW w:w="794" w:type="dxa"/>
          </w:tcPr>
          <w:p>
            <w:pPr>
              <w:pStyle w:val="0"/>
              <w:jc w:val="center"/>
            </w:pPr>
            <w:r>
              <w:rPr>
                <w:sz w:val="20"/>
              </w:rPr>
              <w:t xml:space="preserve">0700</w:t>
            </w:r>
          </w:p>
        </w:tc>
        <w:tc>
          <w:tcPr>
            <w:tcW w:w="2721" w:type="dxa"/>
          </w:tcPr>
          <w:p>
            <w:pPr>
              <w:pStyle w:val="0"/>
            </w:pPr>
            <w:r>
              <w:rPr>
                <w:sz w:val="20"/>
              </w:rPr>
              <w:t xml:space="preserve">Образование</w:t>
            </w:r>
          </w:p>
        </w:tc>
        <w:tc>
          <w:tcPr>
            <w:tcW w:w="1417" w:type="dxa"/>
          </w:tcPr>
          <w:p>
            <w:pPr>
              <w:pStyle w:val="0"/>
              <w:jc w:val="center"/>
            </w:pPr>
            <w:r>
              <w:rPr>
                <w:sz w:val="20"/>
              </w:rPr>
              <w:t xml:space="preserve">20045199,6</w:t>
            </w:r>
          </w:p>
        </w:tc>
        <w:tc>
          <w:tcPr>
            <w:tcW w:w="1304" w:type="dxa"/>
          </w:tcPr>
          <w:p>
            <w:pPr>
              <w:pStyle w:val="0"/>
              <w:jc w:val="center"/>
            </w:pPr>
            <w:r>
              <w:rPr>
                <w:sz w:val="20"/>
              </w:rPr>
              <w:t xml:space="preserve">1464953,3</w:t>
            </w:r>
          </w:p>
        </w:tc>
        <w:tc>
          <w:tcPr>
            <w:tcW w:w="1417" w:type="dxa"/>
          </w:tcPr>
          <w:p>
            <w:pPr>
              <w:pStyle w:val="0"/>
              <w:jc w:val="center"/>
            </w:pPr>
            <w:r>
              <w:rPr>
                <w:sz w:val="20"/>
              </w:rPr>
              <w:t xml:space="preserve">21510152,9</w:t>
            </w:r>
          </w:p>
        </w:tc>
        <w:tc>
          <w:tcPr>
            <w:tcW w:w="1417" w:type="dxa"/>
          </w:tcPr>
          <w:p>
            <w:pPr>
              <w:pStyle w:val="0"/>
              <w:jc w:val="center"/>
            </w:pPr>
            <w:r>
              <w:rPr>
                <w:sz w:val="20"/>
              </w:rPr>
              <w:t xml:space="preserve">18374238,3</w:t>
            </w:r>
          </w:p>
        </w:tc>
        <w:tc>
          <w:tcPr>
            <w:tcW w:w="1304" w:type="dxa"/>
          </w:tcPr>
          <w:p>
            <w:pPr>
              <w:pStyle w:val="0"/>
              <w:jc w:val="center"/>
            </w:pPr>
            <w:r>
              <w:rPr>
                <w:sz w:val="20"/>
              </w:rPr>
              <w:t xml:space="preserve">2104192,9</w:t>
            </w:r>
          </w:p>
        </w:tc>
        <w:tc>
          <w:tcPr>
            <w:tcW w:w="1417" w:type="dxa"/>
          </w:tcPr>
          <w:p>
            <w:pPr>
              <w:pStyle w:val="0"/>
              <w:jc w:val="center"/>
            </w:pPr>
            <w:r>
              <w:rPr>
                <w:sz w:val="20"/>
              </w:rPr>
              <w:t xml:space="preserve">20478431,2</w:t>
            </w:r>
          </w:p>
        </w:tc>
        <w:tc>
          <w:tcPr>
            <w:tcW w:w="1417" w:type="dxa"/>
          </w:tcPr>
          <w:p>
            <w:pPr>
              <w:pStyle w:val="0"/>
              <w:jc w:val="center"/>
            </w:pPr>
            <w:r>
              <w:rPr>
                <w:sz w:val="20"/>
              </w:rPr>
              <w:t xml:space="preserve">18374238,3</w:t>
            </w:r>
          </w:p>
        </w:tc>
        <w:tc>
          <w:tcPr>
            <w:tcW w:w="1304" w:type="dxa"/>
          </w:tcPr>
          <w:p>
            <w:pPr>
              <w:pStyle w:val="0"/>
              <w:jc w:val="center"/>
            </w:pPr>
            <w:r>
              <w:rPr>
                <w:sz w:val="20"/>
              </w:rPr>
              <w:t xml:space="preserve">1452434,8</w:t>
            </w:r>
          </w:p>
        </w:tc>
        <w:tc>
          <w:tcPr>
            <w:tcW w:w="1417" w:type="dxa"/>
          </w:tcPr>
          <w:p>
            <w:pPr>
              <w:pStyle w:val="0"/>
              <w:jc w:val="center"/>
            </w:pPr>
            <w:r>
              <w:rPr>
                <w:sz w:val="20"/>
              </w:rPr>
              <w:t xml:space="preserve">19826673,1</w:t>
            </w:r>
          </w:p>
        </w:tc>
      </w:tr>
      <w:tr>
        <w:tc>
          <w:tcPr>
            <w:tcW w:w="794" w:type="dxa"/>
          </w:tcPr>
          <w:p>
            <w:pPr>
              <w:pStyle w:val="0"/>
              <w:jc w:val="center"/>
            </w:pPr>
            <w:r>
              <w:rPr>
                <w:sz w:val="20"/>
              </w:rPr>
              <w:t xml:space="preserve">0800</w:t>
            </w:r>
          </w:p>
        </w:tc>
        <w:tc>
          <w:tcPr>
            <w:tcW w:w="2721" w:type="dxa"/>
          </w:tcPr>
          <w:p>
            <w:pPr>
              <w:pStyle w:val="0"/>
            </w:pPr>
            <w:r>
              <w:rPr>
                <w:sz w:val="20"/>
              </w:rPr>
              <w:t xml:space="preserve">Культура, кинематография</w:t>
            </w:r>
          </w:p>
        </w:tc>
        <w:tc>
          <w:tcPr>
            <w:tcW w:w="1417" w:type="dxa"/>
          </w:tcPr>
          <w:p>
            <w:pPr>
              <w:pStyle w:val="0"/>
              <w:jc w:val="center"/>
            </w:pPr>
            <w:r>
              <w:rPr>
                <w:sz w:val="20"/>
              </w:rPr>
              <w:t xml:space="preserve">2279654,9</w:t>
            </w:r>
          </w:p>
        </w:tc>
        <w:tc>
          <w:tcPr>
            <w:tcW w:w="1304" w:type="dxa"/>
          </w:tcPr>
          <w:p>
            <w:pPr>
              <w:pStyle w:val="0"/>
              <w:jc w:val="center"/>
            </w:pPr>
            <w:r>
              <w:rPr>
                <w:sz w:val="20"/>
              </w:rPr>
              <w:t xml:space="preserve">151312,0</w:t>
            </w:r>
          </w:p>
        </w:tc>
        <w:tc>
          <w:tcPr>
            <w:tcW w:w="1417" w:type="dxa"/>
          </w:tcPr>
          <w:p>
            <w:pPr>
              <w:pStyle w:val="0"/>
              <w:jc w:val="center"/>
            </w:pPr>
            <w:r>
              <w:rPr>
                <w:sz w:val="20"/>
              </w:rPr>
              <w:t xml:space="preserve">2430966,9</w:t>
            </w:r>
          </w:p>
        </w:tc>
        <w:tc>
          <w:tcPr>
            <w:tcW w:w="1417" w:type="dxa"/>
          </w:tcPr>
          <w:p>
            <w:pPr>
              <w:pStyle w:val="0"/>
              <w:jc w:val="center"/>
            </w:pPr>
            <w:r>
              <w:rPr>
                <w:sz w:val="20"/>
              </w:rPr>
              <w:t xml:space="preserve">2565413,9</w:t>
            </w:r>
          </w:p>
        </w:tc>
        <w:tc>
          <w:tcPr>
            <w:tcW w:w="1304" w:type="dxa"/>
          </w:tcPr>
          <w:p>
            <w:pPr>
              <w:pStyle w:val="0"/>
              <w:jc w:val="center"/>
            </w:pPr>
            <w:r>
              <w:rPr>
                <w:sz w:val="20"/>
              </w:rPr>
              <w:t xml:space="preserve">151312,0</w:t>
            </w:r>
          </w:p>
        </w:tc>
        <w:tc>
          <w:tcPr>
            <w:tcW w:w="1417" w:type="dxa"/>
          </w:tcPr>
          <w:p>
            <w:pPr>
              <w:pStyle w:val="0"/>
              <w:jc w:val="center"/>
            </w:pPr>
            <w:r>
              <w:rPr>
                <w:sz w:val="20"/>
              </w:rPr>
              <w:t xml:space="preserve">2716725,9</w:t>
            </w:r>
          </w:p>
        </w:tc>
        <w:tc>
          <w:tcPr>
            <w:tcW w:w="1417" w:type="dxa"/>
          </w:tcPr>
          <w:p>
            <w:pPr>
              <w:pStyle w:val="0"/>
              <w:jc w:val="center"/>
            </w:pPr>
            <w:r>
              <w:rPr>
                <w:sz w:val="20"/>
              </w:rPr>
              <w:t xml:space="preserve">2563490,3</w:t>
            </w:r>
          </w:p>
        </w:tc>
        <w:tc>
          <w:tcPr>
            <w:tcW w:w="1304" w:type="dxa"/>
          </w:tcPr>
          <w:p>
            <w:pPr>
              <w:pStyle w:val="0"/>
              <w:jc w:val="center"/>
            </w:pPr>
            <w:r>
              <w:rPr>
                <w:sz w:val="20"/>
              </w:rPr>
              <w:t xml:space="preserve">151312,0</w:t>
            </w:r>
          </w:p>
        </w:tc>
        <w:tc>
          <w:tcPr>
            <w:tcW w:w="1417" w:type="dxa"/>
          </w:tcPr>
          <w:p>
            <w:pPr>
              <w:pStyle w:val="0"/>
              <w:jc w:val="center"/>
            </w:pPr>
            <w:r>
              <w:rPr>
                <w:sz w:val="20"/>
              </w:rPr>
              <w:t xml:space="preserve">2714802,3</w:t>
            </w:r>
          </w:p>
        </w:tc>
      </w:tr>
      <w:tr>
        <w:tc>
          <w:tcPr>
            <w:tcW w:w="794" w:type="dxa"/>
          </w:tcPr>
          <w:p>
            <w:pPr>
              <w:pStyle w:val="0"/>
              <w:jc w:val="center"/>
            </w:pPr>
            <w:r>
              <w:rPr>
                <w:sz w:val="20"/>
              </w:rPr>
              <w:t xml:space="preserve">0900</w:t>
            </w:r>
          </w:p>
        </w:tc>
        <w:tc>
          <w:tcPr>
            <w:tcW w:w="2721" w:type="dxa"/>
          </w:tcPr>
          <w:p>
            <w:pPr>
              <w:pStyle w:val="0"/>
            </w:pPr>
            <w:r>
              <w:rPr>
                <w:sz w:val="20"/>
              </w:rPr>
              <w:t xml:space="preserve">Здравоохранение</w:t>
            </w:r>
          </w:p>
        </w:tc>
        <w:tc>
          <w:tcPr>
            <w:tcW w:w="1417" w:type="dxa"/>
          </w:tcPr>
          <w:p>
            <w:pPr>
              <w:pStyle w:val="0"/>
              <w:jc w:val="center"/>
            </w:pPr>
            <w:r>
              <w:rPr>
                <w:sz w:val="20"/>
              </w:rPr>
              <w:t xml:space="preserve">9543183,0</w:t>
            </w:r>
          </w:p>
        </w:tc>
        <w:tc>
          <w:tcPr>
            <w:tcW w:w="1304" w:type="dxa"/>
          </w:tcPr>
          <w:p>
            <w:pPr>
              <w:pStyle w:val="0"/>
              <w:jc w:val="center"/>
            </w:pPr>
            <w:r>
              <w:rPr>
                <w:sz w:val="20"/>
              </w:rPr>
              <w:t xml:space="preserve">1127584,4</w:t>
            </w:r>
          </w:p>
        </w:tc>
        <w:tc>
          <w:tcPr>
            <w:tcW w:w="1417" w:type="dxa"/>
          </w:tcPr>
          <w:p>
            <w:pPr>
              <w:pStyle w:val="0"/>
              <w:jc w:val="center"/>
            </w:pPr>
            <w:r>
              <w:rPr>
                <w:sz w:val="20"/>
              </w:rPr>
              <w:t xml:space="preserve">10670767,4</w:t>
            </w:r>
          </w:p>
        </w:tc>
        <w:tc>
          <w:tcPr>
            <w:tcW w:w="1417" w:type="dxa"/>
          </w:tcPr>
          <w:p>
            <w:pPr>
              <w:pStyle w:val="0"/>
              <w:jc w:val="center"/>
            </w:pPr>
            <w:r>
              <w:rPr>
                <w:sz w:val="20"/>
              </w:rPr>
              <w:t xml:space="preserve">8325526,7</w:t>
            </w:r>
          </w:p>
        </w:tc>
        <w:tc>
          <w:tcPr>
            <w:tcW w:w="1304" w:type="dxa"/>
          </w:tcPr>
          <w:p>
            <w:pPr>
              <w:pStyle w:val="0"/>
              <w:jc w:val="center"/>
            </w:pPr>
            <w:r>
              <w:rPr>
                <w:sz w:val="20"/>
              </w:rPr>
              <w:t xml:space="preserve">1127584,4</w:t>
            </w:r>
          </w:p>
        </w:tc>
        <w:tc>
          <w:tcPr>
            <w:tcW w:w="1417" w:type="dxa"/>
          </w:tcPr>
          <w:p>
            <w:pPr>
              <w:pStyle w:val="0"/>
              <w:jc w:val="center"/>
            </w:pPr>
            <w:r>
              <w:rPr>
                <w:sz w:val="20"/>
              </w:rPr>
              <w:t xml:space="preserve">9453111,1</w:t>
            </w:r>
          </w:p>
        </w:tc>
        <w:tc>
          <w:tcPr>
            <w:tcW w:w="1417" w:type="dxa"/>
          </w:tcPr>
          <w:p>
            <w:pPr>
              <w:pStyle w:val="0"/>
              <w:jc w:val="center"/>
            </w:pPr>
            <w:r>
              <w:rPr>
                <w:sz w:val="20"/>
              </w:rPr>
              <w:t xml:space="preserve">8236913,3</w:t>
            </w:r>
          </w:p>
        </w:tc>
        <w:tc>
          <w:tcPr>
            <w:tcW w:w="1304" w:type="dxa"/>
          </w:tcPr>
          <w:p>
            <w:pPr>
              <w:pStyle w:val="0"/>
              <w:jc w:val="center"/>
            </w:pPr>
            <w:r>
              <w:rPr>
                <w:sz w:val="20"/>
              </w:rPr>
              <w:t xml:space="preserve">1127584,4</w:t>
            </w:r>
          </w:p>
        </w:tc>
        <w:tc>
          <w:tcPr>
            <w:tcW w:w="1417" w:type="dxa"/>
          </w:tcPr>
          <w:p>
            <w:pPr>
              <w:pStyle w:val="0"/>
              <w:jc w:val="center"/>
            </w:pPr>
            <w:r>
              <w:rPr>
                <w:sz w:val="20"/>
              </w:rPr>
              <w:t xml:space="preserve">9364497,7</w:t>
            </w:r>
          </w:p>
        </w:tc>
      </w:tr>
      <w:tr>
        <w:tc>
          <w:tcPr>
            <w:tcW w:w="794" w:type="dxa"/>
          </w:tcPr>
          <w:p>
            <w:pPr>
              <w:pStyle w:val="0"/>
              <w:jc w:val="center"/>
            </w:pPr>
            <w:r>
              <w:rPr>
                <w:sz w:val="20"/>
              </w:rPr>
              <w:t xml:space="preserve">1000</w:t>
            </w:r>
          </w:p>
        </w:tc>
        <w:tc>
          <w:tcPr>
            <w:tcW w:w="2721" w:type="dxa"/>
          </w:tcPr>
          <w:p>
            <w:pPr>
              <w:pStyle w:val="0"/>
            </w:pPr>
            <w:r>
              <w:rPr>
                <w:sz w:val="20"/>
              </w:rPr>
              <w:t xml:space="preserve">Социальная политика</w:t>
            </w:r>
          </w:p>
        </w:tc>
        <w:tc>
          <w:tcPr>
            <w:tcW w:w="1417" w:type="dxa"/>
          </w:tcPr>
          <w:p>
            <w:pPr>
              <w:pStyle w:val="0"/>
              <w:jc w:val="center"/>
            </w:pPr>
            <w:r>
              <w:rPr>
                <w:sz w:val="20"/>
              </w:rPr>
              <w:t xml:space="preserve">25064638,1</w:t>
            </w:r>
          </w:p>
        </w:tc>
        <w:tc>
          <w:tcPr>
            <w:tcW w:w="1304" w:type="dxa"/>
          </w:tcPr>
          <w:p>
            <w:pPr>
              <w:pStyle w:val="0"/>
              <w:jc w:val="center"/>
            </w:pPr>
            <w:r>
              <w:rPr>
                <w:sz w:val="20"/>
              </w:rPr>
              <w:t xml:space="preserve">2103101,0</w:t>
            </w:r>
          </w:p>
        </w:tc>
        <w:tc>
          <w:tcPr>
            <w:tcW w:w="1417" w:type="dxa"/>
          </w:tcPr>
          <w:p>
            <w:pPr>
              <w:pStyle w:val="0"/>
              <w:jc w:val="center"/>
            </w:pPr>
            <w:r>
              <w:rPr>
                <w:sz w:val="20"/>
              </w:rPr>
              <w:t xml:space="preserve">27167739,1</w:t>
            </w:r>
          </w:p>
        </w:tc>
        <w:tc>
          <w:tcPr>
            <w:tcW w:w="1417" w:type="dxa"/>
          </w:tcPr>
          <w:p>
            <w:pPr>
              <w:pStyle w:val="0"/>
              <w:jc w:val="center"/>
            </w:pPr>
            <w:r>
              <w:rPr>
                <w:sz w:val="20"/>
              </w:rPr>
              <w:t xml:space="preserve">25809214,3</w:t>
            </w:r>
          </w:p>
        </w:tc>
        <w:tc>
          <w:tcPr>
            <w:tcW w:w="1304" w:type="dxa"/>
          </w:tcPr>
          <w:p>
            <w:pPr>
              <w:pStyle w:val="0"/>
              <w:jc w:val="center"/>
            </w:pPr>
            <w:r>
              <w:rPr>
                <w:sz w:val="20"/>
              </w:rPr>
              <w:t xml:space="preserve">2090068,4</w:t>
            </w:r>
          </w:p>
        </w:tc>
        <w:tc>
          <w:tcPr>
            <w:tcW w:w="1417" w:type="dxa"/>
          </w:tcPr>
          <w:p>
            <w:pPr>
              <w:pStyle w:val="0"/>
              <w:jc w:val="center"/>
            </w:pPr>
            <w:r>
              <w:rPr>
                <w:sz w:val="20"/>
              </w:rPr>
              <w:t xml:space="preserve">27899282,7</w:t>
            </w:r>
          </w:p>
        </w:tc>
        <w:tc>
          <w:tcPr>
            <w:tcW w:w="1417" w:type="dxa"/>
          </w:tcPr>
          <w:p>
            <w:pPr>
              <w:pStyle w:val="0"/>
              <w:jc w:val="center"/>
            </w:pPr>
            <w:r>
              <w:rPr>
                <w:sz w:val="20"/>
              </w:rPr>
              <w:t xml:space="preserve">25123920,0</w:t>
            </w:r>
          </w:p>
        </w:tc>
        <w:tc>
          <w:tcPr>
            <w:tcW w:w="1304" w:type="dxa"/>
          </w:tcPr>
          <w:p>
            <w:pPr>
              <w:pStyle w:val="0"/>
              <w:jc w:val="center"/>
            </w:pPr>
            <w:r>
              <w:rPr>
                <w:sz w:val="20"/>
              </w:rPr>
              <w:t xml:space="preserve">2077025,6</w:t>
            </w:r>
          </w:p>
        </w:tc>
        <w:tc>
          <w:tcPr>
            <w:tcW w:w="1417" w:type="dxa"/>
          </w:tcPr>
          <w:p>
            <w:pPr>
              <w:pStyle w:val="0"/>
              <w:jc w:val="center"/>
            </w:pPr>
            <w:r>
              <w:rPr>
                <w:sz w:val="20"/>
              </w:rPr>
              <w:t xml:space="preserve">27200945,6</w:t>
            </w:r>
          </w:p>
        </w:tc>
      </w:tr>
      <w:tr>
        <w:tc>
          <w:tcPr>
            <w:tcW w:w="794" w:type="dxa"/>
          </w:tcPr>
          <w:p>
            <w:pPr>
              <w:pStyle w:val="0"/>
            </w:pPr>
            <w:r>
              <w:rPr>
                <w:sz w:val="20"/>
              </w:rPr>
            </w:r>
          </w:p>
        </w:tc>
        <w:tc>
          <w:tcPr>
            <w:tcW w:w="2721" w:type="dxa"/>
          </w:tcPr>
          <w:p>
            <w:pPr>
              <w:pStyle w:val="0"/>
            </w:pPr>
            <w:r>
              <w:rPr>
                <w:sz w:val="20"/>
              </w:rPr>
              <w:t xml:space="preserve">из них страховые взносы за неработающее население</w:t>
            </w:r>
          </w:p>
        </w:tc>
        <w:tc>
          <w:tcPr>
            <w:tcW w:w="1417" w:type="dxa"/>
          </w:tcPr>
          <w:p>
            <w:pPr>
              <w:pStyle w:val="0"/>
              <w:jc w:val="center"/>
            </w:pPr>
            <w:r>
              <w:rPr>
                <w:sz w:val="20"/>
              </w:rPr>
              <w:t xml:space="preserve">5733265,6</w:t>
            </w:r>
          </w:p>
        </w:tc>
        <w:tc>
          <w:tcPr>
            <w:tcW w:w="1304" w:type="dxa"/>
          </w:tcPr>
          <w:p>
            <w:pPr>
              <w:pStyle w:val="0"/>
              <w:jc w:val="center"/>
            </w:pPr>
            <w:r>
              <w:rPr>
                <w:sz w:val="20"/>
              </w:rPr>
              <w:t xml:space="preserve">0,0</w:t>
            </w:r>
          </w:p>
        </w:tc>
        <w:tc>
          <w:tcPr>
            <w:tcW w:w="1417" w:type="dxa"/>
          </w:tcPr>
          <w:p>
            <w:pPr>
              <w:pStyle w:val="0"/>
              <w:jc w:val="center"/>
            </w:pPr>
            <w:r>
              <w:rPr>
                <w:sz w:val="20"/>
              </w:rPr>
              <w:t xml:space="preserve">5733265,6</w:t>
            </w:r>
          </w:p>
        </w:tc>
        <w:tc>
          <w:tcPr>
            <w:tcW w:w="1417" w:type="dxa"/>
          </w:tcPr>
          <w:p>
            <w:pPr>
              <w:pStyle w:val="0"/>
              <w:jc w:val="center"/>
            </w:pPr>
            <w:r>
              <w:rPr>
                <w:sz w:val="20"/>
              </w:rPr>
              <w:t xml:space="preserve">5963692,7</w:t>
            </w:r>
          </w:p>
        </w:tc>
        <w:tc>
          <w:tcPr>
            <w:tcW w:w="1304" w:type="dxa"/>
          </w:tcPr>
          <w:p>
            <w:pPr>
              <w:pStyle w:val="0"/>
              <w:jc w:val="center"/>
            </w:pPr>
            <w:r>
              <w:rPr>
                <w:sz w:val="20"/>
              </w:rPr>
              <w:t xml:space="preserve">0,0</w:t>
            </w:r>
          </w:p>
        </w:tc>
        <w:tc>
          <w:tcPr>
            <w:tcW w:w="1417" w:type="dxa"/>
          </w:tcPr>
          <w:p>
            <w:pPr>
              <w:pStyle w:val="0"/>
              <w:jc w:val="center"/>
            </w:pPr>
            <w:r>
              <w:rPr>
                <w:sz w:val="20"/>
              </w:rPr>
              <w:t xml:space="preserve">5963692,7</w:t>
            </w:r>
          </w:p>
        </w:tc>
        <w:tc>
          <w:tcPr>
            <w:tcW w:w="1417" w:type="dxa"/>
          </w:tcPr>
          <w:p>
            <w:pPr>
              <w:pStyle w:val="0"/>
              <w:jc w:val="center"/>
            </w:pPr>
            <w:r>
              <w:rPr>
                <w:sz w:val="20"/>
              </w:rPr>
              <w:t xml:space="preserve">5963692,7</w:t>
            </w:r>
          </w:p>
        </w:tc>
        <w:tc>
          <w:tcPr>
            <w:tcW w:w="1304" w:type="dxa"/>
          </w:tcPr>
          <w:p>
            <w:pPr>
              <w:pStyle w:val="0"/>
              <w:jc w:val="center"/>
            </w:pPr>
            <w:r>
              <w:rPr>
                <w:sz w:val="20"/>
              </w:rPr>
              <w:t xml:space="preserve">0,0</w:t>
            </w:r>
          </w:p>
        </w:tc>
        <w:tc>
          <w:tcPr>
            <w:tcW w:w="1417" w:type="dxa"/>
          </w:tcPr>
          <w:p>
            <w:pPr>
              <w:pStyle w:val="0"/>
              <w:jc w:val="center"/>
            </w:pPr>
            <w:r>
              <w:rPr>
                <w:sz w:val="20"/>
              </w:rPr>
              <w:t xml:space="preserve">5963692,7</w:t>
            </w:r>
          </w:p>
        </w:tc>
      </w:tr>
      <w:tr>
        <w:tc>
          <w:tcPr>
            <w:tcW w:w="794" w:type="dxa"/>
          </w:tcPr>
          <w:p>
            <w:pPr>
              <w:pStyle w:val="0"/>
              <w:jc w:val="center"/>
            </w:pPr>
            <w:r>
              <w:rPr>
                <w:sz w:val="20"/>
              </w:rPr>
              <w:t xml:space="preserve">1100</w:t>
            </w:r>
          </w:p>
        </w:tc>
        <w:tc>
          <w:tcPr>
            <w:tcW w:w="2721" w:type="dxa"/>
          </w:tcPr>
          <w:p>
            <w:pPr>
              <w:pStyle w:val="0"/>
            </w:pPr>
            <w:r>
              <w:rPr>
                <w:sz w:val="20"/>
              </w:rPr>
              <w:t xml:space="preserve">Физическая культура и спорт</w:t>
            </w:r>
          </w:p>
        </w:tc>
        <w:tc>
          <w:tcPr>
            <w:tcW w:w="1417" w:type="dxa"/>
          </w:tcPr>
          <w:p>
            <w:pPr>
              <w:pStyle w:val="0"/>
              <w:jc w:val="center"/>
            </w:pPr>
            <w:r>
              <w:rPr>
                <w:sz w:val="20"/>
              </w:rPr>
              <w:t xml:space="preserve">1111378,6</w:t>
            </w:r>
          </w:p>
        </w:tc>
        <w:tc>
          <w:tcPr>
            <w:tcW w:w="1304" w:type="dxa"/>
          </w:tcPr>
          <w:p>
            <w:pPr>
              <w:pStyle w:val="0"/>
              <w:jc w:val="center"/>
            </w:pPr>
            <w:r>
              <w:rPr>
                <w:sz w:val="20"/>
              </w:rPr>
              <w:t xml:space="preserve">32992,6</w:t>
            </w:r>
          </w:p>
        </w:tc>
        <w:tc>
          <w:tcPr>
            <w:tcW w:w="1417" w:type="dxa"/>
          </w:tcPr>
          <w:p>
            <w:pPr>
              <w:pStyle w:val="0"/>
              <w:jc w:val="center"/>
            </w:pPr>
            <w:r>
              <w:rPr>
                <w:sz w:val="20"/>
              </w:rPr>
              <w:t xml:space="preserve">1144371,2</w:t>
            </w:r>
          </w:p>
        </w:tc>
        <w:tc>
          <w:tcPr>
            <w:tcW w:w="1417" w:type="dxa"/>
          </w:tcPr>
          <w:p>
            <w:pPr>
              <w:pStyle w:val="0"/>
              <w:jc w:val="center"/>
            </w:pPr>
            <w:r>
              <w:rPr>
                <w:sz w:val="20"/>
              </w:rPr>
              <w:t xml:space="preserve">1418912,1</w:t>
            </w:r>
          </w:p>
        </w:tc>
        <w:tc>
          <w:tcPr>
            <w:tcW w:w="1304" w:type="dxa"/>
          </w:tcPr>
          <w:p>
            <w:pPr>
              <w:pStyle w:val="0"/>
              <w:jc w:val="center"/>
            </w:pPr>
            <w:r>
              <w:rPr>
                <w:sz w:val="20"/>
              </w:rPr>
              <w:t xml:space="preserve">32992,6</w:t>
            </w:r>
          </w:p>
        </w:tc>
        <w:tc>
          <w:tcPr>
            <w:tcW w:w="1417" w:type="dxa"/>
          </w:tcPr>
          <w:p>
            <w:pPr>
              <w:pStyle w:val="0"/>
              <w:jc w:val="center"/>
            </w:pPr>
            <w:r>
              <w:rPr>
                <w:sz w:val="20"/>
              </w:rPr>
              <w:t xml:space="preserve">1451904,7</w:t>
            </w:r>
          </w:p>
        </w:tc>
        <w:tc>
          <w:tcPr>
            <w:tcW w:w="1417" w:type="dxa"/>
          </w:tcPr>
          <w:p>
            <w:pPr>
              <w:pStyle w:val="0"/>
              <w:jc w:val="center"/>
            </w:pPr>
            <w:r>
              <w:rPr>
                <w:sz w:val="20"/>
              </w:rPr>
              <w:t xml:space="preserve">1101088,2</w:t>
            </w:r>
          </w:p>
        </w:tc>
        <w:tc>
          <w:tcPr>
            <w:tcW w:w="1304" w:type="dxa"/>
          </w:tcPr>
          <w:p>
            <w:pPr>
              <w:pStyle w:val="0"/>
              <w:jc w:val="center"/>
            </w:pPr>
            <w:r>
              <w:rPr>
                <w:sz w:val="20"/>
              </w:rPr>
              <w:t xml:space="preserve">32992,6</w:t>
            </w:r>
          </w:p>
        </w:tc>
        <w:tc>
          <w:tcPr>
            <w:tcW w:w="1417" w:type="dxa"/>
          </w:tcPr>
          <w:p>
            <w:pPr>
              <w:pStyle w:val="0"/>
              <w:jc w:val="center"/>
            </w:pPr>
            <w:r>
              <w:rPr>
                <w:sz w:val="20"/>
              </w:rPr>
              <w:t xml:space="preserve">1134080,8</w:t>
            </w:r>
          </w:p>
        </w:tc>
      </w:tr>
      <w:tr>
        <w:tc>
          <w:tcPr>
            <w:tcW w:w="794" w:type="dxa"/>
          </w:tcPr>
          <w:p>
            <w:pPr>
              <w:pStyle w:val="0"/>
              <w:jc w:val="center"/>
            </w:pPr>
            <w:r>
              <w:rPr>
                <w:sz w:val="20"/>
              </w:rPr>
              <w:t xml:space="preserve">1200</w:t>
            </w:r>
          </w:p>
        </w:tc>
        <w:tc>
          <w:tcPr>
            <w:tcW w:w="2721" w:type="dxa"/>
          </w:tcPr>
          <w:p>
            <w:pPr>
              <w:pStyle w:val="0"/>
            </w:pPr>
            <w:r>
              <w:rPr>
                <w:sz w:val="20"/>
              </w:rPr>
              <w:t xml:space="preserve">Средства массовой информации</w:t>
            </w:r>
          </w:p>
        </w:tc>
        <w:tc>
          <w:tcPr>
            <w:tcW w:w="1417" w:type="dxa"/>
          </w:tcPr>
          <w:p>
            <w:pPr>
              <w:pStyle w:val="0"/>
              <w:jc w:val="center"/>
            </w:pPr>
            <w:r>
              <w:rPr>
                <w:sz w:val="20"/>
              </w:rPr>
              <w:t xml:space="preserve">24892,1</w:t>
            </w:r>
          </w:p>
        </w:tc>
        <w:tc>
          <w:tcPr>
            <w:tcW w:w="1304" w:type="dxa"/>
          </w:tcPr>
          <w:p>
            <w:pPr>
              <w:pStyle w:val="0"/>
              <w:jc w:val="center"/>
            </w:pPr>
            <w:r>
              <w:rPr>
                <w:sz w:val="20"/>
              </w:rPr>
              <w:t xml:space="preserve">0,0</w:t>
            </w:r>
          </w:p>
        </w:tc>
        <w:tc>
          <w:tcPr>
            <w:tcW w:w="1417" w:type="dxa"/>
          </w:tcPr>
          <w:p>
            <w:pPr>
              <w:pStyle w:val="0"/>
              <w:jc w:val="center"/>
            </w:pPr>
            <w:r>
              <w:rPr>
                <w:sz w:val="20"/>
              </w:rPr>
              <w:t xml:space="preserve">24892,1</w:t>
            </w:r>
          </w:p>
        </w:tc>
        <w:tc>
          <w:tcPr>
            <w:tcW w:w="1417" w:type="dxa"/>
          </w:tcPr>
          <w:p>
            <w:pPr>
              <w:pStyle w:val="0"/>
              <w:jc w:val="center"/>
            </w:pPr>
            <w:r>
              <w:rPr>
                <w:sz w:val="20"/>
              </w:rPr>
              <w:t xml:space="preserve">24892,1</w:t>
            </w:r>
          </w:p>
        </w:tc>
        <w:tc>
          <w:tcPr>
            <w:tcW w:w="1304" w:type="dxa"/>
          </w:tcPr>
          <w:p>
            <w:pPr>
              <w:pStyle w:val="0"/>
              <w:jc w:val="center"/>
            </w:pPr>
            <w:r>
              <w:rPr>
                <w:sz w:val="20"/>
              </w:rPr>
              <w:t xml:space="preserve">0,0</w:t>
            </w:r>
          </w:p>
        </w:tc>
        <w:tc>
          <w:tcPr>
            <w:tcW w:w="1417" w:type="dxa"/>
          </w:tcPr>
          <w:p>
            <w:pPr>
              <w:pStyle w:val="0"/>
              <w:jc w:val="center"/>
            </w:pPr>
            <w:r>
              <w:rPr>
                <w:sz w:val="20"/>
              </w:rPr>
              <w:t xml:space="preserve">24892,1</w:t>
            </w:r>
          </w:p>
        </w:tc>
        <w:tc>
          <w:tcPr>
            <w:tcW w:w="1417" w:type="dxa"/>
          </w:tcPr>
          <w:p>
            <w:pPr>
              <w:pStyle w:val="0"/>
              <w:jc w:val="center"/>
            </w:pPr>
            <w:r>
              <w:rPr>
                <w:sz w:val="20"/>
              </w:rPr>
              <w:t xml:space="preserve">24892,1</w:t>
            </w:r>
          </w:p>
        </w:tc>
        <w:tc>
          <w:tcPr>
            <w:tcW w:w="1304" w:type="dxa"/>
          </w:tcPr>
          <w:p>
            <w:pPr>
              <w:pStyle w:val="0"/>
              <w:jc w:val="center"/>
            </w:pPr>
            <w:r>
              <w:rPr>
                <w:sz w:val="20"/>
              </w:rPr>
              <w:t xml:space="preserve">0,0</w:t>
            </w:r>
          </w:p>
        </w:tc>
        <w:tc>
          <w:tcPr>
            <w:tcW w:w="1417" w:type="dxa"/>
          </w:tcPr>
          <w:p>
            <w:pPr>
              <w:pStyle w:val="0"/>
              <w:jc w:val="center"/>
            </w:pPr>
            <w:r>
              <w:rPr>
                <w:sz w:val="20"/>
              </w:rPr>
              <w:t xml:space="preserve">24892,1</w:t>
            </w:r>
          </w:p>
        </w:tc>
      </w:tr>
      <w:tr>
        <w:tc>
          <w:tcPr>
            <w:tcW w:w="794" w:type="dxa"/>
          </w:tcPr>
          <w:p>
            <w:pPr>
              <w:pStyle w:val="0"/>
              <w:jc w:val="center"/>
            </w:pPr>
            <w:r>
              <w:rPr>
                <w:sz w:val="20"/>
              </w:rPr>
              <w:t xml:space="preserve">1300</w:t>
            </w:r>
          </w:p>
        </w:tc>
        <w:tc>
          <w:tcPr>
            <w:tcW w:w="2721" w:type="dxa"/>
          </w:tcPr>
          <w:p>
            <w:pPr>
              <w:pStyle w:val="0"/>
            </w:pPr>
            <w:r>
              <w:rPr>
                <w:sz w:val="20"/>
              </w:rPr>
              <w:t xml:space="preserve">Обслуживание государственного и муниципального долга</w:t>
            </w:r>
          </w:p>
        </w:tc>
        <w:tc>
          <w:tcPr>
            <w:tcW w:w="1417" w:type="dxa"/>
          </w:tcPr>
          <w:p>
            <w:pPr>
              <w:pStyle w:val="0"/>
              <w:jc w:val="center"/>
            </w:pPr>
            <w:r>
              <w:rPr>
                <w:sz w:val="20"/>
              </w:rPr>
              <w:t xml:space="preserve">242281,6</w:t>
            </w:r>
          </w:p>
        </w:tc>
        <w:tc>
          <w:tcPr>
            <w:tcW w:w="1304" w:type="dxa"/>
          </w:tcPr>
          <w:p>
            <w:pPr>
              <w:pStyle w:val="0"/>
              <w:jc w:val="center"/>
            </w:pPr>
            <w:r>
              <w:rPr>
                <w:sz w:val="20"/>
              </w:rPr>
              <w:t xml:space="preserve">67808,7</w:t>
            </w:r>
          </w:p>
        </w:tc>
        <w:tc>
          <w:tcPr>
            <w:tcW w:w="1417" w:type="dxa"/>
          </w:tcPr>
          <w:p>
            <w:pPr>
              <w:pStyle w:val="0"/>
              <w:jc w:val="center"/>
            </w:pPr>
            <w:r>
              <w:rPr>
                <w:sz w:val="20"/>
              </w:rPr>
              <w:t xml:space="preserve">310090,3</w:t>
            </w:r>
          </w:p>
        </w:tc>
        <w:tc>
          <w:tcPr>
            <w:tcW w:w="1417" w:type="dxa"/>
          </w:tcPr>
          <w:p>
            <w:pPr>
              <w:pStyle w:val="0"/>
              <w:jc w:val="center"/>
            </w:pPr>
            <w:r>
              <w:rPr>
                <w:sz w:val="20"/>
              </w:rPr>
              <w:t xml:space="preserve">247832,5</w:t>
            </w:r>
          </w:p>
        </w:tc>
        <w:tc>
          <w:tcPr>
            <w:tcW w:w="1304" w:type="dxa"/>
          </w:tcPr>
          <w:p>
            <w:pPr>
              <w:pStyle w:val="0"/>
              <w:jc w:val="center"/>
            </w:pPr>
            <w:r>
              <w:rPr>
                <w:sz w:val="20"/>
              </w:rPr>
              <w:t xml:space="preserve">168782,7</w:t>
            </w:r>
          </w:p>
        </w:tc>
        <w:tc>
          <w:tcPr>
            <w:tcW w:w="1417" w:type="dxa"/>
          </w:tcPr>
          <w:p>
            <w:pPr>
              <w:pStyle w:val="0"/>
              <w:jc w:val="center"/>
            </w:pPr>
            <w:r>
              <w:rPr>
                <w:sz w:val="20"/>
              </w:rPr>
              <w:t xml:space="preserve">416615,2</w:t>
            </w:r>
          </w:p>
        </w:tc>
        <w:tc>
          <w:tcPr>
            <w:tcW w:w="1417" w:type="dxa"/>
          </w:tcPr>
          <w:p>
            <w:pPr>
              <w:pStyle w:val="0"/>
              <w:jc w:val="center"/>
            </w:pPr>
            <w:r>
              <w:rPr>
                <w:sz w:val="20"/>
              </w:rPr>
              <w:t xml:space="preserve">253532,6</w:t>
            </w:r>
          </w:p>
        </w:tc>
        <w:tc>
          <w:tcPr>
            <w:tcW w:w="1304" w:type="dxa"/>
          </w:tcPr>
          <w:p>
            <w:pPr>
              <w:pStyle w:val="0"/>
              <w:jc w:val="center"/>
            </w:pPr>
            <w:r>
              <w:rPr>
                <w:sz w:val="20"/>
              </w:rPr>
              <w:t xml:space="preserve">200471,2</w:t>
            </w:r>
          </w:p>
        </w:tc>
        <w:tc>
          <w:tcPr>
            <w:tcW w:w="1417" w:type="dxa"/>
          </w:tcPr>
          <w:p>
            <w:pPr>
              <w:pStyle w:val="0"/>
              <w:jc w:val="center"/>
            </w:pPr>
            <w:r>
              <w:rPr>
                <w:sz w:val="20"/>
              </w:rPr>
              <w:t xml:space="preserve">454003,8</w:t>
            </w:r>
          </w:p>
        </w:tc>
      </w:tr>
      <w:tr>
        <w:tc>
          <w:tcPr>
            <w:tcW w:w="794" w:type="dxa"/>
          </w:tcPr>
          <w:p>
            <w:pPr>
              <w:pStyle w:val="0"/>
              <w:jc w:val="center"/>
            </w:pPr>
            <w:r>
              <w:rPr>
                <w:sz w:val="20"/>
              </w:rPr>
              <w:t xml:space="preserve">1400</w:t>
            </w:r>
          </w:p>
        </w:tc>
        <w:tc>
          <w:tcPr>
            <w:tcW w:w="2721"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1417" w:type="dxa"/>
          </w:tcPr>
          <w:p>
            <w:pPr>
              <w:pStyle w:val="0"/>
              <w:jc w:val="center"/>
            </w:pPr>
            <w:r>
              <w:rPr>
                <w:sz w:val="20"/>
              </w:rPr>
              <w:t xml:space="preserve">7585823,4</w:t>
            </w:r>
          </w:p>
        </w:tc>
        <w:tc>
          <w:tcPr>
            <w:tcW w:w="1304" w:type="dxa"/>
          </w:tcPr>
          <w:p>
            <w:pPr>
              <w:pStyle w:val="0"/>
              <w:jc w:val="center"/>
            </w:pPr>
            <w:r>
              <w:rPr>
                <w:sz w:val="20"/>
              </w:rPr>
              <w:t xml:space="preserve">0,0</w:t>
            </w:r>
          </w:p>
        </w:tc>
        <w:tc>
          <w:tcPr>
            <w:tcW w:w="1417" w:type="dxa"/>
          </w:tcPr>
          <w:p>
            <w:pPr>
              <w:pStyle w:val="0"/>
              <w:jc w:val="center"/>
            </w:pPr>
            <w:r>
              <w:rPr>
                <w:sz w:val="20"/>
              </w:rPr>
              <w:t xml:space="preserve">7585823,4</w:t>
            </w:r>
          </w:p>
        </w:tc>
        <w:tc>
          <w:tcPr>
            <w:tcW w:w="1417" w:type="dxa"/>
          </w:tcPr>
          <w:p>
            <w:pPr>
              <w:pStyle w:val="0"/>
              <w:jc w:val="center"/>
            </w:pPr>
            <w:r>
              <w:rPr>
                <w:sz w:val="20"/>
              </w:rPr>
              <w:t xml:space="preserve">4913934,6</w:t>
            </w:r>
          </w:p>
        </w:tc>
        <w:tc>
          <w:tcPr>
            <w:tcW w:w="1304" w:type="dxa"/>
          </w:tcPr>
          <w:p>
            <w:pPr>
              <w:pStyle w:val="0"/>
              <w:jc w:val="center"/>
            </w:pPr>
            <w:r>
              <w:rPr>
                <w:sz w:val="20"/>
              </w:rPr>
              <w:t xml:space="preserve">1250403,0</w:t>
            </w:r>
          </w:p>
        </w:tc>
        <w:tc>
          <w:tcPr>
            <w:tcW w:w="1417" w:type="dxa"/>
          </w:tcPr>
          <w:p>
            <w:pPr>
              <w:pStyle w:val="0"/>
              <w:jc w:val="center"/>
            </w:pPr>
            <w:r>
              <w:rPr>
                <w:sz w:val="20"/>
              </w:rPr>
              <w:t xml:space="preserve">6164337,6</w:t>
            </w:r>
          </w:p>
        </w:tc>
        <w:tc>
          <w:tcPr>
            <w:tcW w:w="1417" w:type="dxa"/>
          </w:tcPr>
          <w:p>
            <w:pPr>
              <w:pStyle w:val="0"/>
              <w:jc w:val="center"/>
            </w:pPr>
            <w:r>
              <w:rPr>
                <w:sz w:val="20"/>
              </w:rPr>
              <w:t xml:space="preserve">4732645,7</w:t>
            </w:r>
          </w:p>
        </w:tc>
        <w:tc>
          <w:tcPr>
            <w:tcW w:w="1304" w:type="dxa"/>
          </w:tcPr>
          <w:p>
            <w:pPr>
              <w:pStyle w:val="0"/>
              <w:jc w:val="center"/>
            </w:pPr>
            <w:r>
              <w:rPr>
                <w:sz w:val="20"/>
              </w:rPr>
              <w:t xml:space="preserve">585000,0</w:t>
            </w:r>
          </w:p>
        </w:tc>
        <w:tc>
          <w:tcPr>
            <w:tcW w:w="1417" w:type="dxa"/>
          </w:tcPr>
          <w:p>
            <w:pPr>
              <w:pStyle w:val="0"/>
              <w:jc w:val="center"/>
            </w:pPr>
            <w:r>
              <w:rPr>
                <w:sz w:val="20"/>
              </w:rPr>
              <w:t xml:space="preserve">5317645,7</w:t>
            </w:r>
          </w:p>
        </w:tc>
      </w:tr>
      <w:tr>
        <w:tc>
          <w:tcPr>
            <w:tcW w:w="794" w:type="dxa"/>
          </w:tcPr>
          <w:p>
            <w:pPr>
              <w:pStyle w:val="0"/>
            </w:pPr>
            <w:r>
              <w:rPr>
                <w:sz w:val="20"/>
              </w:rPr>
            </w:r>
          </w:p>
        </w:tc>
        <w:tc>
          <w:tcPr>
            <w:tcW w:w="2721" w:type="dxa"/>
          </w:tcPr>
          <w:p>
            <w:pPr>
              <w:pStyle w:val="0"/>
            </w:pPr>
            <w:r>
              <w:rPr>
                <w:sz w:val="20"/>
              </w:rPr>
              <w:t xml:space="preserve">ИТОГО РАСХОДОВ</w:t>
            </w:r>
          </w:p>
        </w:tc>
        <w:tc>
          <w:tcPr>
            <w:tcW w:w="1417" w:type="dxa"/>
          </w:tcPr>
          <w:p>
            <w:pPr>
              <w:pStyle w:val="0"/>
              <w:jc w:val="center"/>
            </w:pPr>
            <w:r>
              <w:rPr>
                <w:sz w:val="20"/>
              </w:rPr>
              <w:t xml:space="preserve">85209965,1</w:t>
            </w:r>
          </w:p>
        </w:tc>
        <w:tc>
          <w:tcPr>
            <w:tcW w:w="1304" w:type="dxa"/>
          </w:tcPr>
          <w:p>
            <w:pPr>
              <w:pStyle w:val="0"/>
              <w:jc w:val="center"/>
            </w:pPr>
            <w:r>
              <w:rPr>
                <w:sz w:val="20"/>
              </w:rPr>
              <w:t xml:space="preserve">7515539,7</w:t>
            </w:r>
          </w:p>
        </w:tc>
        <w:tc>
          <w:tcPr>
            <w:tcW w:w="1417" w:type="dxa"/>
          </w:tcPr>
          <w:p>
            <w:pPr>
              <w:pStyle w:val="0"/>
              <w:jc w:val="center"/>
            </w:pPr>
            <w:r>
              <w:rPr>
                <w:sz w:val="20"/>
              </w:rPr>
              <w:t xml:space="preserve">92725504,8</w:t>
            </w:r>
          </w:p>
        </w:tc>
        <w:tc>
          <w:tcPr>
            <w:tcW w:w="1417" w:type="dxa"/>
          </w:tcPr>
          <w:p>
            <w:pPr>
              <w:pStyle w:val="0"/>
              <w:jc w:val="center"/>
            </w:pPr>
            <w:r>
              <w:rPr>
                <w:sz w:val="20"/>
              </w:rPr>
              <w:t xml:space="preserve">79165385,1</w:t>
            </w:r>
          </w:p>
        </w:tc>
        <w:tc>
          <w:tcPr>
            <w:tcW w:w="1304" w:type="dxa"/>
          </w:tcPr>
          <w:p>
            <w:pPr>
              <w:pStyle w:val="0"/>
              <w:jc w:val="center"/>
            </w:pPr>
            <w:r>
              <w:rPr>
                <w:sz w:val="20"/>
              </w:rPr>
              <w:t xml:space="preserve">9243285,6</w:t>
            </w:r>
          </w:p>
        </w:tc>
        <w:tc>
          <w:tcPr>
            <w:tcW w:w="1417" w:type="dxa"/>
          </w:tcPr>
          <w:p>
            <w:pPr>
              <w:pStyle w:val="0"/>
              <w:jc w:val="center"/>
            </w:pPr>
            <w:r>
              <w:rPr>
                <w:sz w:val="20"/>
              </w:rPr>
              <w:t xml:space="preserve">88408670,7</w:t>
            </w:r>
          </w:p>
        </w:tc>
        <w:tc>
          <w:tcPr>
            <w:tcW w:w="1417" w:type="dxa"/>
          </w:tcPr>
          <w:p>
            <w:pPr>
              <w:pStyle w:val="0"/>
              <w:jc w:val="center"/>
            </w:pPr>
            <w:r>
              <w:rPr>
                <w:sz w:val="20"/>
              </w:rPr>
              <w:t xml:space="preserve">77292632,7</w:t>
            </w:r>
          </w:p>
        </w:tc>
        <w:tc>
          <w:tcPr>
            <w:tcW w:w="1304" w:type="dxa"/>
          </w:tcPr>
          <w:p>
            <w:pPr>
              <w:pStyle w:val="0"/>
              <w:jc w:val="center"/>
            </w:pPr>
            <w:r>
              <w:rPr>
                <w:sz w:val="20"/>
              </w:rPr>
              <w:t xml:space="preserve">7928467,5</w:t>
            </w:r>
          </w:p>
        </w:tc>
        <w:tc>
          <w:tcPr>
            <w:tcW w:w="1417" w:type="dxa"/>
          </w:tcPr>
          <w:p>
            <w:pPr>
              <w:pStyle w:val="0"/>
              <w:jc w:val="center"/>
            </w:pPr>
            <w:r>
              <w:rPr>
                <w:sz w:val="20"/>
              </w:rPr>
              <w:t xml:space="preserve">85221100,2</w:t>
            </w:r>
          </w:p>
        </w:tc>
      </w:tr>
    </w:tbl>
    <w:p>
      <w:pPr>
        <w:sectPr>
          <w:headerReference w:type="default" r:id="rId88"/>
          <w:headerReference w:type="first" r:id="rId88"/>
          <w:footerReference w:type="default" r:id="rId89"/>
          <w:footerReference w:type="first" r:id="rId89"/>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9</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21.07.2022 N 686-р</w:t>
      </w:r>
    </w:p>
    <w:p>
      <w:pPr>
        <w:pStyle w:val="0"/>
        <w:jc w:val="both"/>
      </w:pPr>
      <w:r>
        <w:rPr>
          <w:sz w:val="20"/>
        </w:rPr>
      </w:r>
    </w:p>
    <w:bookmarkStart w:id="2033" w:name="P2033"/>
    <w:bookmarkEnd w:id="2033"/>
    <w:p>
      <w:pPr>
        <w:pStyle w:val="2"/>
        <w:jc w:val="center"/>
      </w:pPr>
      <w:r>
        <w:rPr>
          <w:sz w:val="20"/>
        </w:rPr>
        <w:t xml:space="preserve">ПЕРЕЧЕНЬ</w:t>
      </w:r>
    </w:p>
    <w:p>
      <w:pPr>
        <w:pStyle w:val="2"/>
        <w:jc w:val="center"/>
      </w:pPr>
      <w:r>
        <w:rPr>
          <w:sz w:val="20"/>
        </w:rPr>
        <w:t xml:space="preserve">ПРИОРИТЕТНЫХ НАПРАВЛЕНИЙ СОФИНАНСИРОВАНИЯ РАСХОДНЫХ</w:t>
      </w:r>
    </w:p>
    <w:p>
      <w:pPr>
        <w:pStyle w:val="2"/>
        <w:jc w:val="center"/>
      </w:pPr>
      <w:r>
        <w:rPr>
          <w:sz w:val="20"/>
        </w:rPr>
        <w:t xml:space="preserve">ОБЯЗАТЕЛЬСТВ МУНИЦИПАЛЬНЫХ ОБРАЗОВАНИЙ ВЛАДИМИРСКОЙ ОБЛАСТИ</w:t>
      </w:r>
    </w:p>
    <w:p>
      <w:pPr>
        <w:pStyle w:val="2"/>
        <w:jc w:val="center"/>
      </w:pPr>
      <w:r>
        <w:rPr>
          <w:sz w:val="20"/>
        </w:rPr>
        <w:t xml:space="preserve">НА 2023 ГОД И НА ПЛАНОВЫЙ ПЕРИОД 2024 И 2025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835"/>
        <w:gridCol w:w="2268"/>
        <w:gridCol w:w="1984"/>
        <w:gridCol w:w="2551"/>
        <w:gridCol w:w="850"/>
        <w:gridCol w:w="851"/>
        <w:gridCol w:w="849"/>
        <w:gridCol w:w="849"/>
      </w:tblGrid>
      <w:tr>
        <w:tc>
          <w:tcPr>
            <w:tcW w:w="567" w:type="dxa"/>
            <w:vMerge w:val="restart"/>
          </w:tcPr>
          <w:p>
            <w:pPr>
              <w:pStyle w:val="0"/>
              <w:jc w:val="center"/>
            </w:pPr>
            <w:r>
              <w:rPr>
                <w:sz w:val="20"/>
              </w:rPr>
              <w:t xml:space="preserve">N п/п</w:t>
            </w:r>
          </w:p>
        </w:tc>
        <w:tc>
          <w:tcPr>
            <w:tcW w:w="2835" w:type="dxa"/>
            <w:vMerge w:val="restart"/>
          </w:tcPr>
          <w:p>
            <w:pPr>
              <w:pStyle w:val="0"/>
              <w:jc w:val="center"/>
            </w:pPr>
            <w:r>
              <w:rPr>
                <w:sz w:val="20"/>
              </w:rPr>
              <w:t xml:space="preserve">Направление софинансирования (мероприятие)</w:t>
            </w:r>
          </w:p>
        </w:tc>
        <w:tc>
          <w:tcPr>
            <w:tcW w:w="2268" w:type="dxa"/>
            <w:vMerge w:val="restart"/>
          </w:tcPr>
          <w:p>
            <w:pPr>
              <w:pStyle w:val="0"/>
              <w:jc w:val="center"/>
            </w:pPr>
            <w:r>
              <w:rPr>
                <w:sz w:val="20"/>
              </w:rPr>
              <w:t xml:space="preserve">Наименование государственной программы</w:t>
            </w:r>
          </w:p>
        </w:tc>
        <w:tc>
          <w:tcPr>
            <w:tcW w:w="1984" w:type="dxa"/>
            <w:vMerge w:val="restart"/>
          </w:tcPr>
          <w:p>
            <w:pPr>
              <w:pStyle w:val="0"/>
              <w:jc w:val="center"/>
            </w:pPr>
            <w:r>
              <w:rPr>
                <w:sz w:val="20"/>
              </w:rPr>
              <w:t xml:space="preserve">Главный распорядитель бюджетных средств</w:t>
            </w:r>
          </w:p>
        </w:tc>
        <w:tc>
          <w:tcPr>
            <w:tcW w:w="2551" w:type="dxa"/>
            <w:vMerge w:val="restart"/>
          </w:tcPr>
          <w:p>
            <w:pPr>
              <w:pStyle w:val="0"/>
              <w:jc w:val="center"/>
            </w:pPr>
            <w:r>
              <w:rPr>
                <w:sz w:val="20"/>
              </w:rPr>
              <w:t xml:space="preserve">Целевой показатель результативности предоставления субсидии</w:t>
            </w:r>
          </w:p>
        </w:tc>
        <w:tc>
          <w:tcPr>
            <w:tcW w:w="850" w:type="dxa"/>
            <w:vMerge w:val="restart"/>
          </w:tcPr>
          <w:p>
            <w:pPr>
              <w:pStyle w:val="0"/>
              <w:jc w:val="center"/>
            </w:pPr>
            <w:r>
              <w:rPr>
                <w:sz w:val="20"/>
              </w:rPr>
              <w:t xml:space="preserve">Единица измерения</w:t>
            </w:r>
          </w:p>
        </w:tc>
        <w:tc>
          <w:tcPr>
            <w:gridSpan w:val="3"/>
            <w:tcW w:w="2549" w:type="dxa"/>
          </w:tcPr>
          <w:p>
            <w:pPr>
              <w:pStyle w:val="0"/>
              <w:jc w:val="center"/>
            </w:pPr>
            <w:r>
              <w:rPr>
                <w:sz w:val="20"/>
              </w:rPr>
              <w:t xml:space="preserve">Значение показателя</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851" w:type="dxa"/>
          </w:tcPr>
          <w:p>
            <w:pPr>
              <w:pStyle w:val="0"/>
              <w:jc w:val="center"/>
            </w:pPr>
            <w:r>
              <w:rPr>
                <w:sz w:val="20"/>
              </w:rPr>
              <w:t xml:space="preserve">2023</w:t>
            </w:r>
          </w:p>
        </w:tc>
        <w:tc>
          <w:tcPr>
            <w:tcW w:w="849" w:type="dxa"/>
          </w:tcPr>
          <w:p>
            <w:pPr>
              <w:pStyle w:val="0"/>
              <w:jc w:val="center"/>
            </w:pPr>
            <w:r>
              <w:rPr>
                <w:sz w:val="20"/>
              </w:rPr>
              <w:t xml:space="preserve">2024</w:t>
            </w:r>
          </w:p>
        </w:tc>
        <w:tc>
          <w:tcPr>
            <w:tcW w:w="849" w:type="dxa"/>
          </w:tcPr>
          <w:p>
            <w:pPr>
              <w:pStyle w:val="0"/>
              <w:jc w:val="center"/>
            </w:pPr>
            <w:r>
              <w:rPr>
                <w:sz w:val="20"/>
              </w:rPr>
              <w:t xml:space="preserve">2025</w:t>
            </w:r>
          </w:p>
        </w:tc>
      </w:tr>
      <w:tr>
        <w:tc>
          <w:tcPr>
            <w:tcW w:w="567" w:type="dxa"/>
          </w:tcPr>
          <w:p>
            <w:pPr>
              <w:pStyle w:val="0"/>
              <w:jc w:val="center"/>
            </w:pPr>
            <w:r>
              <w:rPr>
                <w:sz w:val="20"/>
              </w:rPr>
              <w:t xml:space="preserve">1</w:t>
            </w:r>
          </w:p>
        </w:tc>
        <w:tc>
          <w:tcPr>
            <w:tcW w:w="2835" w:type="dxa"/>
          </w:tcPr>
          <w:p>
            <w:pPr>
              <w:pStyle w:val="0"/>
              <w:jc w:val="center"/>
            </w:pPr>
            <w:r>
              <w:rPr>
                <w:sz w:val="20"/>
              </w:rPr>
              <w:t xml:space="preserve">2</w:t>
            </w:r>
          </w:p>
        </w:tc>
        <w:tc>
          <w:tcPr>
            <w:tcW w:w="2268" w:type="dxa"/>
          </w:tcPr>
          <w:p>
            <w:pPr>
              <w:pStyle w:val="0"/>
              <w:jc w:val="center"/>
            </w:pPr>
            <w:r>
              <w:rPr>
                <w:sz w:val="20"/>
              </w:rPr>
              <w:t xml:space="preserve">3</w:t>
            </w:r>
          </w:p>
        </w:tc>
        <w:tc>
          <w:tcPr>
            <w:tcW w:w="1984" w:type="dxa"/>
          </w:tcPr>
          <w:p>
            <w:pPr>
              <w:pStyle w:val="0"/>
              <w:jc w:val="center"/>
            </w:pPr>
            <w:r>
              <w:rPr>
                <w:sz w:val="20"/>
              </w:rPr>
              <w:t xml:space="preserve">4</w:t>
            </w:r>
          </w:p>
        </w:tc>
        <w:tc>
          <w:tcPr>
            <w:tcW w:w="2551" w:type="dxa"/>
          </w:tcPr>
          <w:p>
            <w:pPr>
              <w:pStyle w:val="0"/>
              <w:jc w:val="center"/>
            </w:pPr>
            <w:r>
              <w:rPr>
                <w:sz w:val="20"/>
              </w:rPr>
              <w:t xml:space="preserve">5</w:t>
            </w:r>
          </w:p>
        </w:tc>
        <w:tc>
          <w:tcPr>
            <w:tcW w:w="850" w:type="dxa"/>
          </w:tcPr>
          <w:p>
            <w:pPr>
              <w:pStyle w:val="0"/>
              <w:jc w:val="center"/>
            </w:pPr>
            <w:r>
              <w:rPr>
                <w:sz w:val="20"/>
              </w:rPr>
              <w:t xml:space="preserve">6</w:t>
            </w:r>
          </w:p>
        </w:tc>
        <w:tc>
          <w:tcPr>
            <w:tcW w:w="851" w:type="dxa"/>
          </w:tcPr>
          <w:p>
            <w:pPr>
              <w:pStyle w:val="0"/>
              <w:jc w:val="center"/>
            </w:pPr>
            <w:r>
              <w:rPr>
                <w:sz w:val="20"/>
              </w:rPr>
              <w:t xml:space="preserve">7</w:t>
            </w:r>
          </w:p>
        </w:tc>
        <w:tc>
          <w:tcPr>
            <w:tcW w:w="849" w:type="dxa"/>
          </w:tcPr>
          <w:p>
            <w:pPr>
              <w:pStyle w:val="0"/>
              <w:jc w:val="center"/>
            </w:pPr>
            <w:r>
              <w:rPr>
                <w:sz w:val="20"/>
              </w:rPr>
              <w:t xml:space="preserve">8</w:t>
            </w:r>
          </w:p>
        </w:tc>
        <w:tc>
          <w:tcPr>
            <w:tcW w:w="849" w:type="dxa"/>
          </w:tcPr>
          <w:p>
            <w:pPr>
              <w:pStyle w:val="0"/>
              <w:jc w:val="center"/>
            </w:pPr>
            <w:r>
              <w:rPr>
                <w:sz w:val="20"/>
              </w:rPr>
              <w:t xml:space="preserve">9</w:t>
            </w:r>
          </w:p>
        </w:tc>
      </w:tr>
      <w:tr>
        <w:tc>
          <w:tcPr>
            <w:tcW w:w="567" w:type="dxa"/>
            <w:vMerge w:val="restart"/>
          </w:tcPr>
          <w:p>
            <w:pPr>
              <w:pStyle w:val="0"/>
              <w:jc w:val="center"/>
            </w:pPr>
            <w:r>
              <w:rPr>
                <w:sz w:val="20"/>
              </w:rPr>
              <w:t xml:space="preserve">1.</w:t>
            </w:r>
          </w:p>
        </w:tc>
        <w:tc>
          <w:tcPr>
            <w:tcW w:w="2835" w:type="dxa"/>
            <w:vMerge w:val="restart"/>
          </w:tcPr>
          <w:p>
            <w:pPr>
              <w:pStyle w:val="0"/>
            </w:pPr>
            <w:r>
              <w:rPr>
                <w:sz w:val="20"/>
              </w:rPr>
              <w:t xml:space="preserve">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2268" w:type="dxa"/>
            <w:vMerge w:val="restart"/>
          </w:tcPr>
          <w:p>
            <w:pPr>
              <w:pStyle w:val="0"/>
            </w:pPr>
            <w:r>
              <w:rPr>
                <w:sz w:val="20"/>
              </w:rPr>
              <w:t xml:space="preserve">Государственная программа "Развитие здравоохранения Владимирской области"</w:t>
            </w:r>
          </w:p>
        </w:tc>
        <w:tc>
          <w:tcPr>
            <w:tcW w:w="1984" w:type="dxa"/>
            <w:vMerge w:val="restart"/>
          </w:tcPr>
          <w:p>
            <w:pPr>
              <w:pStyle w:val="0"/>
            </w:pPr>
            <w:r>
              <w:rPr>
                <w:sz w:val="20"/>
              </w:rPr>
              <w:t xml:space="preserve">Департамент здравоохранения Владимирской области</w:t>
            </w:r>
          </w:p>
        </w:tc>
        <w:tc>
          <w:tcPr>
            <w:tcW w:w="2551" w:type="dxa"/>
          </w:tcPr>
          <w:p>
            <w:pPr>
              <w:pStyle w:val="0"/>
            </w:pPr>
            <w:r>
              <w:rPr>
                <w:sz w:val="20"/>
              </w:rPr>
              <w:t xml:space="preserve">Количество медицинских блоков отделений организации медицинской помощи несовершеннолетним в образовательных организациях, получивших лицензии в текущем отчетном периоде</w:t>
            </w:r>
          </w:p>
        </w:tc>
        <w:tc>
          <w:tcPr>
            <w:tcW w:w="850" w:type="dxa"/>
          </w:tcPr>
          <w:p>
            <w:pPr>
              <w:pStyle w:val="0"/>
            </w:pPr>
            <w:r>
              <w:rPr>
                <w:sz w:val="20"/>
              </w:rPr>
              <w:t xml:space="preserve">шт.</w:t>
            </w:r>
          </w:p>
        </w:tc>
        <w:tc>
          <w:tcPr>
            <w:tcW w:w="851" w:type="dxa"/>
          </w:tcPr>
          <w:p>
            <w:pPr>
              <w:pStyle w:val="0"/>
              <w:jc w:val="center"/>
            </w:pPr>
            <w:r>
              <w:rPr>
                <w:sz w:val="20"/>
              </w:rPr>
              <w:t xml:space="preserve">-</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переданных в безвозмездное пользование медицинским организациям государственной системы здравоохранения Владимирской области медицинских кабинетов, оборудованных:</w:t>
            </w:r>
          </w:p>
          <w:p>
            <w:pPr>
              <w:pStyle w:val="0"/>
            </w:pPr>
            <w:r>
              <w:rPr>
                <w:sz w:val="20"/>
              </w:rPr>
              <w:t xml:space="preserve">- в дошкольных учреждениях - в соответствии с требованиями </w:t>
            </w:r>
            <w:hyperlink w:history="0" r:id="rId90" w:tooltip="Приказ Минздрава России от 05.11.2013 N 822н (ред. от 21.02.2020) &quot;Об утверждении Порядка оказания медицинской помощи несовершеннолетним, в том числе в период обучения и воспитания в образовательных организациях&quot; (Зарегистрировано в Минюсте России 17.01.2014 N 31045) {КонсультантПлюс}">
              <w:r>
                <w:rPr>
                  <w:sz w:val="20"/>
                  <w:color w:val="0000ff"/>
                </w:rPr>
                <w:t xml:space="preserve">приказа</w:t>
              </w:r>
            </w:hyperlink>
            <w:r>
              <w:rPr>
                <w:sz w:val="20"/>
              </w:rPr>
              <w:t xml:space="preserve"> Министерства здравоохранения Российской Федерации от 05.11.2013 N 822н "Об утверждении Порядка оказания медицинской помощи несовершеннолетним, в том числе в период обучения и воспитания в образовательных организациях" и соответствующих требованиям </w:t>
            </w:r>
            <w:hyperlink w:history="0" r:id="rId91"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СанПиН 2.1.3678-20</w:t>
              </w:r>
            </w:hyperlink>
            <w:r>
              <w:rPr>
                <w:sz w:val="20"/>
              </w:rPr>
              <w:t xml:space="preserve">, утвержденных постановлением Главного государственного санитарного врача Российской Федерации от 24.12.2020 N 44, </w:t>
            </w:r>
            <w:hyperlink w:history="0" r:id="rId9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СанПиН 2.4.3648-20</w:t>
              </w:r>
            </w:hyperlink>
            <w:r>
              <w:rPr>
                <w:sz w:val="20"/>
              </w:rPr>
              <w:t xml:space="preserve">, утвержденных постановлением Главного государственного санитарного врача Российской Федерации от 28.09.2020 N 28;</w:t>
            </w:r>
          </w:p>
          <w:p>
            <w:pPr>
              <w:pStyle w:val="0"/>
            </w:pPr>
            <w:r>
              <w:rPr>
                <w:sz w:val="20"/>
              </w:rPr>
              <w:t xml:space="preserve">- в образовательных организациях - в соответствии с требованиями </w:t>
            </w:r>
            <w:hyperlink w:history="0" r:id="rId93"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СанПиН 2.1.3678-20</w:t>
              </w:r>
            </w:hyperlink>
            <w:r>
              <w:rPr>
                <w:sz w:val="20"/>
              </w:rPr>
              <w:t xml:space="preserve">, утвержденных постановлением Главного государственного санитарного врача Российской Федерации от 24.12.2020 N 44, </w:t>
            </w:r>
            <w:hyperlink w:history="0" r:id="rId9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СанПиН 2.4.3648-20</w:t>
              </w:r>
            </w:hyperlink>
            <w:r>
              <w:rPr>
                <w:sz w:val="20"/>
              </w:rPr>
              <w:t xml:space="preserve">, утвержденных постановлением Главного государственного санитарного врача Российской Федерации от 28.09.2020 N 28</w:t>
            </w:r>
          </w:p>
        </w:tc>
        <w:tc>
          <w:tcPr>
            <w:tcW w:w="850" w:type="dxa"/>
          </w:tcPr>
          <w:p>
            <w:pPr>
              <w:pStyle w:val="0"/>
            </w:pPr>
            <w:r>
              <w:rPr>
                <w:sz w:val="20"/>
              </w:rPr>
              <w:t xml:space="preserve">шт.</w:t>
            </w:r>
          </w:p>
        </w:tc>
        <w:tc>
          <w:tcPr>
            <w:tcW w:w="851" w:type="dxa"/>
          </w:tcPr>
          <w:p>
            <w:pPr>
              <w:pStyle w:val="0"/>
              <w:jc w:val="center"/>
            </w:pPr>
            <w:r>
              <w:rPr>
                <w:sz w:val="20"/>
              </w:rPr>
              <w:t xml:space="preserve">4</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vMerge w:val="restart"/>
          </w:tcPr>
          <w:p>
            <w:pPr>
              <w:pStyle w:val="0"/>
              <w:jc w:val="center"/>
            </w:pPr>
            <w:r>
              <w:rPr>
                <w:sz w:val="20"/>
              </w:rPr>
              <w:t xml:space="preserve">2.</w:t>
            </w:r>
          </w:p>
        </w:tc>
        <w:tc>
          <w:tcPr>
            <w:tcW w:w="2835" w:type="dxa"/>
            <w:vMerge w:val="restart"/>
          </w:tcPr>
          <w:p>
            <w:pPr>
              <w:pStyle w:val="0"/>
            </w:pPr>
            <w:r>
              <w:rPr>
                <w:sz w:val="20"/>
              </w:rPr>
              <w:t xml:space="preserve">Развитие сети учреждений культурно-досугового типа</w:t>
            </w:r>
          </w:p>
        </w:tc>
        <w:tc>
          <w:tcPr>
            <w:tcW w:w="2268" w:type="dxa"/>
            <w:vMerge w:val="restart"/>
          </w:tcPr>
          <w:p>
            <w:pPr>
              <w:pStyle w:val="0"/>
            </w:pPr>
            <w:r>
              <w:rPr>
                <w:sz w:val="20"/>
              </w:rPr>
              <w:t xml:space="preserve">Государственная программа Владимирской области "Развитие культуры"</w:t>
            </w:r>
          </w:p>
        </w:tc>
        <w:tc>
          <w:tcPr>
            <w:tcW w:w="1984" w:type="dxa"/>
            <w:vMerge w:val="restart"/>
          </w:tcPr>
          <w:p>
            <w:pPr>
              <w:pStyle w:val="0"/>
            </w:pPr>
            <w:r>
              <w:rPr>
                <w:sz w:val="20"/>
              </w:rPr>
              <w:t xml:space="preserve">Департамент культуры Владимирской области</w:t>
            </w:r>
          </w:p>
        </w:tc>
        <w:tc>
          <w:tcPr>
            <w:tcW w:w="2551" w:type="dxa"/>
          </w:tcPr>
          <w:p>
            <w:pPr>
              <w:pStyle w:val="0"/>
            </w:pPr>
            <w:r>
              <w:rPr>
                <w:sz w:val="20"/>
              </w:rPr>
              <w:t xml:space="preserve">Построены (реконструированы) и (или) капитально отремонтированы культурно-досуговые учреждения в сельской местности</w:t>
            </w:r>
          </w:p>
        </w:tc>
        <w:tc>
          <w:tcPr>
            <w:tcW w:w="850" w:type="dxa"/>
          </w:tcPr>
          <w:p>
            <w:pPr>
              <w:pStyle w:val="0"/>
            </w:pPr>
            <w:r>
              <w:rPr>
                <w:sz w:val="20"/>
              </w:rPr>
              <w:t xml:space="preserve">ед.</w:t>
            </w:r>
          </w:p>
        </w:tc>
        <w:tc>
          <w:tcPr>
            <w:tcW w:w="851" w:type="dxa"/>
          </w:tcPr>
          <w:p>
            <w:pPr>
              <w:pStyle w:val="0"/>
              <w:jc w:val="center"/>
            </w:pPr>
            <w:r>
              <w:rPr>
                <w:sz w:val="20"/>
              </w:rPr>
              <w:t xml:space="preserve">3</w:t>
            </w:r>
          </w:p>
        </w:tc>
        <w:tc>
          <w:tcPr>
            <w:tcW w:w="849" w:type="dxa"/>
          </w:tcPr>
          <w:p>
            <w:pPr>
              <w:pStyle w:val="0"/>
              <w:jc w:val="center"/>
            </w:pPr>
            <w:r>
              <w:rPr>
                <w:sz w:val="20"/>
              </w:rPr>
              <w:t xml:space="preserve">4</w:t>
            </w:r>
          </w:p>
        </w:tc>
        <w:tc>
          <w:tcPr>
            <w:tcW w:w="849" w:type="dxa"/>
          </w:tcPr>
          <w:p>
            <w:pPr>
              <w:pStyle w:val="0"/>
              <w:jc w:val="center"/>
            </w:pPr>
            <w:r>
              <w:rPr>
                <w:sz w:val="20"/>
              </w:rPr>
              <w:t xml:space="preserve">4</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Построены центры культурного развития в субъектах Российской Федерации в городах с числом жителей до 300000 человек</w:t>
            </w:r>
          </w:p>
        </w:tc>
        <w:tc>
          <w:tcPr>
            <w:tcW w:w="850" w:type="dxa"/>
          </w:tcPr>
          <w:p>
            <w:pPr>
              <w:pStyle w:val="0"/>
            </w:pPr>
            <w:r>
              <w:rPr>
                <w:sz w:val="20"/>
              </w:rPr>
              <w:t xml:space="preserve">ед.</w:t>
            </w:r>
          </w:p>
        </w:tc>
        <w:tc>
          <w:tcPr>
            <w:tcW w:w="851" w:type="dxa"/>
          </w:tcPr>
          <w:p>
            <w:pPr>
              <w:pStyle w:val="0"/>
              <w:jc w:val="center"/>
            </w:pPr>
            <w:r>
              <w:rPr>
                <w:sz w:val="20"/>
              </w:rPr>
              <w:t xml:space="preserve">-</w:t>
            </w:r>
          </w:p>
        </w:tc>
        <w:tc>
          <w:tcPr>
            <w:tcW w:w="849" w:type="dxa"/>
          </w:tcPr>
          <w:p>
            <w:pPr>
              <w:pStyle w:val="0"/>
              <w:jc w:val="center"/>
            </w:pPr>
            <w:r>
              <w:rPr>
                <w:sz w:val="20"/>
              </w:rPr>
              <w:t xml:space="preserve">1</w:t>
            </w:r>
          </w:p>
        </w:tc>
        <w:tc>
          <w:tcPr>
            <w:tcW w:w="849" w:type="dxa"/>
          </w:tcPr>
          <w:p>
            <w:pPr>
              <w:pStyle w:val="0"/>
              <w:jc w:val="center"/>
            </w:pPr>
            <w:r>
              <w:rPr>
                <w:sz w:val="20"/>
              </w:rPr>
              <w:t xml:space="preserve">1</w:t>
            </w:r>
          </w:p>
        </w:tc>
      </w:tr>
      <w:tr>
        <w:tc>
          <w:tcPr>
            <w:tcW w:w="567" w:type="dxa"/>
          </w:tcPr>
          <w:p>
            <w:pPr>
              <w:pStyle w:val="0"/>
              <w:jc w:val="center"/>
            </w:pPr>
            <w:r>
              <w:rPr>
                <w:sz w:val="20"/>
              </w:rPr>
              <w:t xml:space="preserve">3.</w:t>
            </w:r>
          </w:p>
        </w:tc>
        <w:tc>
          <w:tcPr>
            <w:tcW w:w="2835" w:type="dxa"/>
          </w:tcPr>
          <w:p>
            <w:pPr>
              <w:pStyle w:val="0"/>
            </w:pPr>
            <w:r>
              <w:rPr>
                <w:sz w:val="20"/>
              </w:rPr>
              <w:t xml:space="preserve">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07.05.2012 </w:t>
            </w:r>
            <w:hyperlink w:history="0" r:id="rId9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01.06.2012 </w:t>
            </w:r>
            <w:hyperlink w:history="0" r:id="rId96"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Отношение средней заработной платы работников учреждений культуры к средней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по Владимирской области</w:t>
            </w:r>
          </w:p>
        </w:tc>
        <w:tc>
          <w:tcPr>
            <w:tcW w:w="850" w:type="dxa"/>
          </w:tcPr>
          <w:p>
            <w:pPr>
              <w:pStyle w:val="0"/>
            </w:pPr>
            <w:r>
              <w:rPr>
                <w:sz w:val="20"/>
              </w:rPr>
              <w:t xml:space="preserve">%</w:t>
            </w:r>
          </w:p>
        </w:tc>
        <w:tc>
          <w:tcPr>
            <w:tcW w:w="851" w:type="dxa"/>
          </w:tcPr>
          <w:p>
            <w:pPr>
              <w:pStyle w:val="0"/>
              <w:jc w:val="center"/>
            </w:pPr>
            <w:r>
              <w:rPr>
                <w:sz w:val="20"/>
              </w:rPr>
              <w:t xml:space="preserve">100,0</w:t>
            </w:r>
          </w:p>
        </w:tc>
        <w:tc>
          <w:tcPr>
            <w:tcW w:w="849" w:type="dxa"/>
          </w:tcPr>
          <w:p>
            <w:pPr>
              <w:pStyle w:val="0"/>
              <w:jc w:val="center"/>
            </w:pPr>
            <w:r>
              <w:rPr>
                <w:sz w:val="20"/>
              </w:rPr>
              <w:t xml:space="preserve">100,0</w:t>
            </w:r>
          </w:p>
        </w:tc>
        <w:tc>
          <w:tcPr>
            <w:tcW w:w="849" w:type="dxa"/>
          </w:tcPr>
          <w:p>
            <w:pPr>
              <w:pStyle w:val="0"/>
              <w:jc w:val="center"/>
            </w:pPr>
            <w:r>
              <w:rPr>
                <w:sz w:val="20"/>
              </w:rPr>
              <w:t xml:space="preserve">100,0</w:t>
            </w:r>
          </w:p>
        </w:tc>
      </w:tr>
      <w:tr>
        <w:tc>
          <w:tcPr>
            <w:tcW w:w="567" w:type="dxa"/>
          </w:tcPr>
          <w:p>
            <w:pPr>
              <w:pStyle w:val="0"/>
              <w:jc w:val="center"/>
            </w:pPr>
            <w:r>
              <w:rPr>
                <w:sz w:val="20"/>
              </w:rPr>
              <w:t xml:space="preserve">4.</w:t>
            </w:r>
          </w:p>
        </w:tc>
        <w:tc>
          <w:tcPr>
            <w:tcW w:w="2835" w:type="dxa"/>
          </w:tcPr>
          <w:p>
            <w:pPr>
              <w:pStyle w:val="0"/>
            </w:pPr>
            <w:r>
              <w:rPr>
                <w:sz w:val="20"/>
              </w:rPr>
              <w:t xml:space="preserve">Техническое оснащение муниципальных музеев</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Технически оснащены муниципальные музеи</w:t>
            </w:r>
          </w:p>
        </w:tc>
        <w:tc>
          <w:tcPr>
            <w:tcW w:w="850" w:type="dxa"/>
          </w:tcPr>
          <w:p>
            <w:pPr>
              <w:pStyle w:val="0"/>
            </w:pPr>
            <w:r>
              <w:rPr>
                <w:sz w:val="20"/>
              </w:rPr>
              <w:t xml:space="preserve">ед.</w:t>
            </w:r>
          </w:p>
        </w:tc>
        <w:tc>
          <w:tcPr>
            <w:tcW w:w="851" w:type="dxa"/>
          </w:tcPr>
          <w:p>
            <w:pPr>
              <w:pStyle w:val="0"/>
              <w:jc w:val="center"/>
            </w:pPr>
            <w:r>
              <w:rPr>
                <w:sz w:val="20"/>
              </w:rPr>
              <w:t xml:space="preserve">2</w:t>
            </w:r>
          </w:p>
        </w:tc>
        <w:tc>
          <w:tcPr>
            <w:tcW w:w="849" w:type="dxa"/>
          </w:tcPr>
          <w:p>
            <w:pPr>
              <w:pStyle w:val="0"/>
              <w:jc w:val="center"/>
            </w:pPr>
            <w:r>
              <w:rPr>
                <w:sz w:val="20"/>
              </w:rPr>
              <w:t xml:space="preserve">1</w:t>
            </w:r>
          </w:p>
        </w:tc>
        <w:tc>
          <w:tcPr>
            <w:tcW w:w="849" w:type="dxa"/>
          </w:tcPr>
          <w:p>
            <w:pPr>
              <w:pStyle w:val="0"/>
              <w:jc w:val="center"/>
            </w:pPr>
            <w:r>
              <w:rPr>
                <w:sz w:val="20"/>
              </w:rPr>
              <w:t xml:space="preserve">1</w:t>
            </w:r>
          </w:p>
        </w:tc>
      </w:tr>
      <w:tr>
        <w:tc>
          <w:tcPr>
            <w:tcW w:w="567" w:type="dxa"/>
          </w:tcPr>
          <w:p>
            <w:pPr>
              <w:pStyle w:val="0"/>
              <w:jc w:val="center"/>
            </w:pPr>
            <w:r>
              <w:rPr>
                <w:sz w:val="20"/>
              </w:rPr>
              <w:t xml:space="preserve">5.</w:t>
            </w:r>
          </w:p>
        </w:tc>
        <w:tc>
          <w:tcPr>
            <w:tcW w:w="2835" w:type="dxa"/>
          </w:tcPr>
          <w:p>
            <w:pPr>
              <w:pStyle w:val="0"/>
            </w:pPr>
            <w:r>
              <w:rPr>
                <w:sz w:val="20"/>
              </w:rPr>
              <w:t xml:space="preserve">Государственная поддержка отрасли культуры на обеспечение автотранспортом для внестационарного обслуживания населения</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Приобретен специализированный автотранспорт для внестационарного обслуживания населения</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1</w:t>
            </w:r>
          </w:p>
        </w:tc>
        <w:tc>
          <w:tcPr>
            <w:tcW w:w="849" w:type="dxa"/>
          </w:tcPr>
          <w:p>
            <w:pPr>
              <w:pStyle w:val="0"/>
              <w:jc w:val="center"/>
            </w:pPr>
            <w:r>
              <w:rPr>
                <w:sz w:val="20"/>
              </w:rPr>
              <w:t xml:space="preserve">1</w:t>
            </w:r>
          </w:p>
        </w:tc>
      </w:tr>
      <w:tr>
        <w:tc>
          <w:tcPr>
            <w:tcW w:w="567" w:type="dxa"/>
          </w:tcPr>
          <w:p>
            <w:pPr>
              <w:pStyle w:val="0"/>
              <w:jc w:val="center"/>
            </w:pPr>
            <w:r>
              <w:rPr>
                <w:sz w:val="20"/>
              </w:rPr>
              <w:t xml:space="preserve">6.</w:t>
            </w:r>
          </w:p>
        </w:tc>
        <w:tc>
          <w:tcPr>
            <w:tcW w:w="2835" w:type="dxa"/>
          </w:tcPr>
          <w:p>
            <w:pPr>
              <w:pStyle w:val="0"/>
            </w:pPr>
            <w:r>
              <w:rPr>
                <w:sz w:val="20"/>
              </w:rPr>
              <w:t xml:space="preserve">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Число посещений театров малых городов</w:t>
            </w:r>
          </w:p>
        </w:tc>
        <w:tc>
          <w:tcPr>
            <w:tcW w:w="850" w:type="dxa"/>
          </w:tcPr>
          <w:p>
            <w:pPr>
              <w:pStyle w:val="0"/>
            </w:pPr>
            <w:r>
              <w:rPr>
                <w:sz w:val="20"/>
              </w:rPr>
              <w:t xml:space="preserve">ед.</w:t>
            </w:r>
          </w:p>
        </w:tc>
        <w:tc>
          <w:tcPr>
            <w:tcW w:w="851" w:type="dxa"/>
          </w:tcPr>
          <w:p>
            <w:pPr>
              <w:pStyle w:val="0"/>
              <w:jc w:val="center"/>
            </w:pPr>
            <w:r>
              <w:rPr>
                <w:sz w:val="20"/>
              </w:rPr>
              <w:t xml:space="preserve">5386</w:t>
            </w:r>
          </w:p>
        </w:tc>
        <w:tc>
          <w:tcPr>
            <w:tcW w:w="849" w:type="dxa"/>
          </w:tcPr>
          <w:p>
            <w:pPr>
              <w:pStyle w:val="0"/>
              <w:jc w:val="center"/>
            </w:pPr>
            <w:r>
              <w:rPr>
                <w:sz w:val="20"/>
              </w:rPr>
              <w:t xml:space="preserve">5388</w:t>
            </w:r>
          </w:p>
        </w:tc>
        <w:tc>
          <w:tcPr>
            <w:tcW w:w="849" w:type="dxa"/>
          </w:tcPr>
          <w:p>
            <w:pPr>
              <w:pStyle w:val="0"/>
              <w:jc w:val="center"/>
            </w:pPr>
            <w:r>
              <w:rPr>
                <w:sz w:val="20"/>
              </w:rPr>
              <w:t xml:space="preserve">5390</w:t>
            </w:r>
          </w:p>
        </w:tc>
      </w:tr>
      <w:tr>
        <w:tc>
          <w:tcPr>
            <w:tcW w:w="567" w:type="dxa"/>
          </w:tcPr>
          <w:p>
            <w:pPr>
              <w:pStyle w:val="0"/>
              <w:jc w:val="center"/>
            </w:pPr>
            <w:r>
              <w:rPr>
                <w:sz w:val="20"/>
              </w:rPr>
              <w:t xml:space="preserve">7.</w:t>
            </w:r>
          </w:p>
        </w:tc>
        <w:tc>
          <w:tcPr>
            <w:tcW w:w="2835" w:type="dxa"/>
          </w:tcPr>
          <w:p>
            <w:pPr>
              <w:pStyle w:val="0"/>
            </w:pPr>
            <w:r>
              <w:rPr>
                <w:sz w:val="20"/>
              </w:rPr>
              <w:t xml:space="preserve">Подготовка и проведение празднования на федеральном уровне памятных дат Владимирской области</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Выполнение плана основных мероприятий не менее чем на 90 процентов ежегодно</w:t>
            </w:r>
          </w:p>
        </w:tc>
        <w:tc>
          <w:tcPr>
            <w:tcW w:w="850" w:type="dxa"/>
          </w:tcPr>
          <w:p>
            <w:pPr>
              <w:pStyle w:val="0"/>
            </w:pPr>
            <w:r>
              <w:rPr>
                <w:sz w:val="20"/>
              </w:rPr>
              <w:t xml:space="preserve">%</w:t>
            </w:r>
          </w:p>
        </w:tc>
        <w:tc>
          <w:tcPr>
            <w:tcW w:w="851" w:type="dxa"/>
          </w:tcPr>
          <w:p>
            <w:pPr>
              <w:pStyle w:val="0"/>
              <w:jc w:val="center"/>
            </w:pPr>
            <w:r>
              <w:rPr>
                <w:sz w:val="20"/>
              </w:rPr>
              <w:t xml:space="preserve">90,0</w:t>
            </w:r>
          </w:p>
        </w:tc>
        <w:tc>
          <w:tcPr>
            <w:tcW w:w="849" w:type="dxa"/>
          </w:tcPr>
          <w:p>
            <w:pPr>
              <w:pStyle w:val="0"/>
              <w:jc w:val="center"/>
            </w:pPr>
            <w:r>
              <w:rPr>
                <w:sz w:val="20"/>
              </w:rPr>
              <w:t xml:space="preserve">90,0</w:t>
            </w:r>
          </w:p>
        </w:tc>
        <w:tc>
          <w:tcPr>
            <w:tcW w:w="849" w:type="dxa"/>
          </w:tcPr>
          <w:p>
            <w:pPr>
              <w:pStyle w:val="0"/>
              <w:jc w:val="center"/>
            </w:pPr>
            <w:r>
              <w:rPr>
                <w:sz w:val="20"/>
              </w:rPr>
              <w:t xml:space="preserve">-</w:t>
            </w:r>
          </w:p>
        </w:tc>
      </w:tr>
      <w:tr>
        <w:tc>
          <w:tcPr>
            <w:tcW w:w="567" w:type="dxa"/>
          </w:tcPr>
          <w:p>
            <w:pPr>
              <w:pStyle w:val="0"/>
              <w:jc w:val="center"/>
            </w:pPr>
            <w:r>
              <w:rPr>
                <w:sz w:val="20"/>
              </w:rPr>
              <w:t xml:space="preserve">8.</w:t>
            </w:r>
          </w:p>
        </w:tc>
        <w:tc>
          <w:tcPr>
            <w:tcW w:w="2835" w:type="dxa"/>
          </w:tcPr>
          <w:p>
            <w:pPr>
              <w:pStyle w:val="0"/>
            </w:pPr>
            <w:r>
              <w:rPr>
                <w:sz w:val="20"/>
              </w:rPr>
              <w:t xml:space="preserve">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Средняя численность участников клубных формирований в расчете на одну тыс. человек (в населенных пунктах с числом жителей до 50 тыс. человек)</w:t>
            </w:r>
          </w:p>
        </w:tc>
        <w:tc>
          <w:tcPr>
            <w:tcW w:w="850" w:type="dxa"/>
          </w:tcPr>
          <w:p>
            <w:pPr>
              <w:pStyle w:val="0"/>
            </w:pPr>
            <w:r>
              <w:rPr>
                <w:sz w:val="20"/>
              </w:rPr>
              <w:t xml:space="preserve">чел.</w:t>
            </w:r>
          </w:p>
        </w:tc>
        <w:tc>
          <w:tcPr>
            <w:tcW w:w="851" w:type="dxa"/>
          </w:tcPr>
          <w:p>
            <w:pPr>
              <w:pStyle w:val="0"/>
              <w:jc w:val="center"/>
            </w:pPr>
            <w:r>
              <w:rPr>
                <w:sz w:val="20"/>
              </w:rPr>
              <w:t xml:space="preserve">89</w:t>
            </w:r>
          </w:p>
        </w:tc>
        <w:tc>
          <w:tcPr>
            <w:tcW w:w="849" w:type="dxa"/>
          </w:tcPr>
          <w:p>
            <w:pPr>
              <w:pStyle w:val="0"/>
              <w:jc w:val="center"/>
            </w:pPr>
            <w:r>
              <w:rPr>
                <w:sz w:val="20"/>
              </w:rPr>
              <w:t xml:space="preserve">89</w:t>
            </w:r>
          </w:p>
        </w:tc>
        <w:tc>
          <w:tcPr>
            <w:tcW w:w="849" w:type="dxa"/>
          </w:tcPr>
          <w:p>
            <w:pPr>
              <w:pStyle w:val="0"/>
              <w:jc w:val="center"/>
            </w:pPr>
            <w:r>
              <w:rPr>
                <w:sz w:val="20"/>
              </w:rPr>
              <w:t xml:space="preserve">89</w:t>
            </w:r>
          </w:p>
        </w:tc>
      </w:tr>
      <w:tr>
        <w:tc>
          <w:tcPr>
            <w:tcW w:w="567" w:type="dxa"/>
          </w:tcPr>
          <w:p>
            <w:pPr>
              <w:pStyle w:val="0"/>
              <w:jc w:val="center"/>
            </w:pPr>
            <w:r>
              <w:rPr>
                <w:sz w:val="20"/>
              </w:rPr>
              <w:t xml:space="preserve">9.</w:t>
            </w:r>
          </w:p>
        </w:tc>
        <w:tc>
          <w:tcPr>
            <w:tcW w:w="2835" w:type="dxa"/>
          </w:tcPr>
          <w:p>
            <w:pPr>
              <w:pStyle w:val="0"/>
            </w:pPr>
            <w:r>
              <w:rPr>
                <w:sz w:val="20"/>
              </w:rPr>
              <w:t xml:space="preserve">Мероприятия по укреплению материально-технической базы муниципальных учреждений культуры</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Количество муниципальных учреждений культуры, на которых проводятся мероприятия по ремонту и оснащению оборудованием</w:t>
            </w:r>
          </w:p>
        </w:tc>
        <w:tc>
          <w:tcPr>
            <w:tcW w:w="850" w:type="dxa"/>
          </w:tcPr>
          <w:p>
            <w:pPr>
              <w:pStyle w:val="0"/>
            </w:pPr>
            <w:r>
              <w:rPr>
                <w:sz w:val="20"/>
              </w:rPr>
              <w:t xml:space="preserve">ед.</w:t>
            </w:r>
          </w:p>
        </w:tc>
        <w:tc>
          <w:tcPr>
            <w:tcW w:w="851" w:type="dxa"/>
          </w:tcPr>
          <w:p>
            <w:pPr>
              <w:pStyle w:val="0"/>
              <w:jc w:val="center"/>
            </w:pPr>
            <w:r>
              <w:rPr>
                <w:sz w:val="20"/>
              </w:rPr>
              <w:t xml:space="preserve">4</w:t>
            </w:r>
          </w:p>
        </w:tc>
        <w:tc>
          <w:tcPr>
            <w:tcW w:w="849" w:type="dxa"/>
          </w:tcPr>
          <w:p>
            <w:pPr>
              <w:pStyle w:val="0"/>
              <w:jc w:val="center"/>
            </w:pPr>
            <w:r>
              <w:rPr>
                <w:sz w:val="20"/>
              </w:rPr>
              <w:t xml:space="preserve">4</w:t>
            </w:r>
          </w:p>
        </w:tc>
        <w:tc>
          <w:tcPr>
            <w:tcW w:w="849" w:type="dxa"/>
          </w:tcPr>
          <w:p>
            <w:pPr>
              <w:pStyle w:val="0"/>
              <w:jc w:val="center"/>
            </w:pPr>
            <w:r>
              <w:rPr>
                <w:sz w:val="20"/>
              </w:rPr>
              <w:t xml:space="preserve">4</w:t>
            </w:r>
          </w:p>
        </w:tc>
      </w:tr>
      <w:tr>
        <w:tc>
          <w:tcPr>
            <w:tcW w:w="567" w:type="dxa"/>
          </w:tcPr>
          <w:p>
            <w:pPr>
              <w:pStyle w:val="0"/>
              <w:jc w:val="center"/>
            </w:pPr>
            <w:r>
              <w:rPr>
                <w:sz w:val="20"/>
              </w:rPr>
              <w:t xml:space="preserve">10.</w:t>
            </w:r>
          </w:p>
        </w:tc>
        <w:tc>
          <w:tcPr>
            <w:tcW w:w="2835" w:type="dxa"/>
          </w:tcPr>
          <w:p>
            <w:pPr>
              <w:pStyle w:val="0"/>
            </w:pPr>
            <w:r>
              <w:rPr>
                <w:sz w:val="20"/>
              </w:rPr>
              <w:t xml:space="preserve">Мероприятия по укреплению материально-технической базы муниципальных библиотек области</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Количество муниципальных библиотек, на которых проводятся мероприятия по капитальному ремонту и приобретению оборудования</w:t>
            </w:r>
          </w:p>
        </w:tc>
        <w:tc>
          <w:tcPr>
            <w:tcW w:w="850" w:type="dxa"/>
          </w:tcPr>
          <w:p>
            <w:pPr>
              <w:pStyle w:val="0"/>
            </w:pPr>
            <w:r>
              <w:rPr>
                <w:sz w:val="20"/>
              </w:rPr>
              <w:t xml:space="preserve">ед.</w:t>
            </w:r>
          </w:p>
        </w:tc>
        <w:tc>
          <w:tcPr>
            <w:tcW w:w="851" w:type="dxa"/>
          </w:tcPr>
          <w:p>
            <w:pPr>
              <w:pStyle w:val="0"/>
              <w:jc w:val="center"/>
            </w:pPr>
            <w:r>
              <w:rPr>
                <w:sz w:val="20"/>
              </w:rPr>
              <w:t xml:space="preserve">2</w:t>
            </w:r>
          </w:p>
        </w:tc>
        <w:tc>
          <w:tcPr>
            <w:tcW w:w="849" w:type="dxa"/>
          </w:tcPr>
          <w:p>
            <w:pPr>
              <w:pStyle w:val="0"/>
              <w:jc w:val="center"/>
            </w:pPr>
            <w:r>
              <w:rPr>
                <w:sz w:val="20"/>
              </w:rPr>
              <w:t xml:space="preserve">2</w:t>
            </w:r>
          </w:p>
        </w:tc>
        <w:tc>
          <w:tcPr>
            <w:tcW w:w="849" w:type="dxa"/>
          </w:tcPr>
          <w:p>
            <w:pPr>
              <w:pStyle w:val="0"/>
              <w:jc w:val="center"/>
            </w:pPr>
            <w:r>
              <w:rPr>
                <w:sz w:val="20"/>
              </w:rPr>
              <w:t xml:space="preserve">2</w:t>
            </w:r>
          </w:p>
        </w:tc>
      </w:tr>
      <w:tr>
        <w:tc>
          <w:tcPr>
            <w:tcW w:w="567" w:type="dxa"/>
          </w:tcPr>
          <w:p>
            <w:pPr>
              <w:pStyle w:val="0"/>
              <w:jc w:val="center"/>
            </w:pPr>
            <w:r>
              <w:rPr>
                <w:sz w:val="20"/>
              </w:rPr>
              <w:t xml:space="preserve">11.</w:t>
            </w:r>
          </w:p>
        </w:tc>
        <w:tc>
          <w:tcPr>
            <w:tcW w:w="2835" w:type="dxa"/>
          </w:tcPr>
          <w:p>
            <w:pPr>
              <w:pStyle w:val="0"/>
            </w:pPr>
            <w:r>
              <w:rPr>
                <w:sz w:val="20"/>
              </w:rPr>
              <w:t xml:space="preserve">Комплектование книжных фондов муниципальных библиотек области</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Количество посещений муниципальных общедоступных библиотек Владимирской области</w:t>
            </w:r>
          </w:p>
        </w:tc>
        <w:tc>
          <w:tcPr>
            <w:tcW w:w="850" w:type="dxa"/>
          </w:tcPr>
          <w:p>
            <w:pPr>
              <w:pStyle w:val="0"/>
            </w:pPr>
            <w:r>
              <w:rPr>
                <w:sz w:val="20"/>
              </w:rPr>
              <w:t xml:space="preserve">%</w:t>
            </w:r>
          </w:p>
        </w:tc>
        <w:tc>
          <w:tcPr>
            <w:tcW w:w="851" w:type="dxa"/>
          </w:tcPr>
          <w:p>
            <w:pPr>
              <w:pStyle w:val="0"/>
              <w:jc w:val="center"/>
            </w:pPr>
            <w:r>
              <w:rPr>
                <w:sz w:val="20"/>
              </w:rPr>
              <w:t xml:space="preserve">111</w:t>
            </w:r>
          </w:p>
        </w:tc>
        <w:tc>
          <w:tcPr>
            <w:tcW w:w="849" w:type="dxa"/>
          </w:tcPr>
          <w:p>
            <w:pPr>
              <w:pStyle w:val="0"/>
              <w:jc w:val="center"/>
            </w:pPr>
            <w:r>
              <w:rPr>
                <w:sz w:val="20"/>
              </w:rPr>
              <w:t xml:space="preserve">115</w:t>
            </w:r>
          </w:p>
        </w:tc>
        <w:tc>
          <w:tcPr>
            <w:tcW w:w="849" w:type="dxa"/>
          </w:tcPr>
          <w:p>
            <w:pPr>
              <w:pStyle w:val="0"/>
              <w:jc w:val="center"/>
            </w:pPr>
            <w:r>
              <w:rPr>
                <w:sz w:val="20"/>
              </w:rPr>
              <w:t xml:space="preserve">115</w:t>
            </w:r>
          </w:p>
        </w:tc>
      </w:tr>
      <w:tr>
        <w:tc>
          <w:tcPr>
            <w:tcW w:w="567" w:type="dxa"/>
          </w:tcPr>
          <w:p>
            <w:pPr>
              <w:pStyle w:val="0"/>
              <w:jc w:val="center"/>
            </w:pPr>
            <w:r>
              <w:rPr>
                <w:sz w:val="20"/>
              </w:rPr>
              <w:t xml:space="preserve">12.</w:t>
            </w:r>
          </w:p>
        </w:tc>
        <w:tc>
          <w:tcPr>
            <w:tcW w:w="2835" w:type="dxa"/>
          </w:tcPr>
          <w:p>
            <w:pPr>
              <w:pStyle w:val="0"/>
            </w:pPr>
            <w:r>
              <w:rPr>
                <w:sz w:val="20"/>
              </w:rPr>
              <w:t xml:space="preserve">Государственная поддержка отрасли культуры на приобретение музыкальных инструментов и материалов для детских школ искусств по видам искусств</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Оснащены образовательные учреждения в сфере культуры (детские школы искусств по видам искусств и училищ) музыкальными инструментами, оборудованием и учебными материалами</w:t>
            </w:r>
          </w:p>
        </w:tc>
        <w:tc>
          <w:tcPr>
            <w:tcW w:w="850" w:type="dxa"/>
          </w:tcPr>
          <w:p>
            <w:pPr>
              <w:pStyle w:val="0"/>
            </w:pPr>
            <w:r>
              <w:rPr>
                <w:sz w:val="20"/>
              </w:rPr>
              <w:t xml:space="preserve">ед.</w:t>
            </w:r>
          </w:p>
        </w:tc>
        <w:tc>
          <w:tcPr>
            <w:tcW w:w="851" w:type="dxa"/>
          </w:tcPr>
          <w:p>
            <w:pPr>
              <w:pStyle w:val="0"/>
              <w:jc w:val="center"/>
            </w:pPr>
            <w:r>
              <w:rPr>
                <w:sz w:val="20"/>
              </w:rPr>
              <w:t xml:space="preserve">10</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tcPr>
          <w:p>
            <w:pPr>
              <w:pStyle w:val="0"/>
              <w:jc w:val="center"/>
            </w:pPr>
            <w:r>
              <w:rPr>
                <w:sz w:val="20"/>
              </w:rPr>
              <w:t xml:space="preserve">13.</w:t>
            </w:r>
          </w:p>
        </w:tc>
        <w:tc>
          <w:tcPr>
            <w:tcW w:w="2835" w:type="dxa"/>
          </w:tcPr>
          <w:p>
            <w:pPr>
              <w:pStyle w:val="0"/>
            </w:pPr>
            <w:r>
              <w:rPr>
                <w:sz w:val="20"/>
              </w:rPr>
              <w:t xml:space="preserve">Государственная поддержка отрасли культуры на поддержку лучших работников сельских учреждений культуры</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Оказана государственная поддержка лучшим работникам сельских учреждений культуры</w:t>
            </w:r>
          </w:p>
        </w:tc>
        <w:tc>
          <w:tcPr>
            <w:tcW w:w="850" w:type="dxa"/>
          </w:tcPr>
          <w:p>
            <w:pPr>
              <w:pStyle w:val="0"/>
            </w:pPr>
            <w:r>
              <w:rPr>
                <w:sz w:val="20"/>
              </w:rPr>
              <w:t xml:space="preserve">ед.</w:t>
            </w:r>
          </w:p>
        </w:tc>
        <w:tc>
          <w:tcPr>
            <w:tcW w:w="851" w:type="dxa"/>
          </w:tcPr>
          <w:p>
            <w:pPr>
              <w:pStyle w:val="0"/>
              <w:jc w:val="center"/>
            </w:pPr>
            <w:r>
              <w:rPr>
                <w:sz w:val="20"/>
              </w:rPr>
              <w:t xml:space="preserve">9</w:t>
            </w:r>
          </w:p>
        </w:tc>
        <w:tc>
          <w:tcPr>
            <w:tcW w:w="849" w:type="dxa"/>
          </w:tcPr>
          <w:p>
            <w:pPr>
              <w:pStyle w:val="0"/>
              <w:jc w:val="center"/>
            </w:pPr>
            <w:r>
              <w:rPr>
                <w:sz w:val="20"/>
              </w:rPr>
              <w:t xml:space="preserve">9</w:t>
            </w:r>
          </w:p>
        </w:tc>
        <w:tc>
          <w:tcPr>
            <w:tcW w:w="849" w:type="dxa"/>
          </w:tcPr>
          <w:p>
            <w:pPr>
              <w:pStyle w:val="0"/>
              <w:jc w:val="center"/>
            </w:pPr>
            <w:r>
              <w:rPr>
                <w:sz w:val="20"/>
              </w:rPr>
              <w:t xml:space="preserve">9</w:t>
            </w:r>
          </w:p>
        </w:tc>
      </w:tr>
      <w:tr>
        <w:tc>
          <w:tcPr>
            <w:tcW w:w="567" w:type="dxa"/>
          </w:tcPr>
          <w:p>
            <w:pPr>
              <w:pStyle w:val="0"/>
              <w:jc w:val="center"/>
            </w:pPr>
            <w:r>
              <w:rPr>
                <w:sz w:val="20"/>
              </w:rPr>
              <w:t xml:space="preserve">14.</w:t>
            </w:r>
          </w:p>
        </w:tc>
        <w:tc>
          <w:tcPr>
            <w:tcW w:w="2835" w:type="dxa"/>
          </w:tcPr>
          <w:p>
            <w:pPr>
              <w:pStyle w:val="0"/>
            </w:pPr>
            <w:r>
              <w:rPr>
                <w:sz w:val="20"/>
              </w:rPr>
              <w:t xml:space="preserve">Государственная поддержка отрасли культуры на поддержку лучших сельских учреждений культуры</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Оказана государственная поддержка лучшим сельским учреждениям культуры</w:t>
            </w:r>
          </w:p>
        </w:tc>
        <w:tc>
          <w:tcPr>
            <w:tcW w:w="850" w:type="dxa"/>
          </w:tcPr>
          <w:p>
            <w:pPr>
              <w:pStyle w:val="0"/>
            </w:pPr>
            <w:r>
              <w:rPr>
                <w:sz w:val="20"/>
              </w:rPr>
              <w:t xml:space="preserve">ед.</w:t>
            </w:r>
          </w:p>
        </w:tc>
        <w:tc>
          <w:tcPr>
            <w:tcW w:w="851" w:type="dxa"/>
          </w:tcPr>
          <w:p>
            <w:pPr>
              <w:pStyle w:val="0"/>
              <w:jc w:val="center"/>
            </w:pPr>
            <w:r>
              <w:rPr>
                <w:sz w:val="20"/>
              </w:rPr>
              <w:t xml:space="preserve">11</w:t>
            </w:r>
          </w:p>
        </w:tc>
        <w:tc>
          <w:tcPr>
            <w:tcW w:w="849" w:type="dxa"/>
          </w:tcPr>
          <w:p>
            <w:pPr>
              <w:pStyle w:val="0"/>
              <w:jc w:val="center"/>
            </w:pPr>
            <w:r>
              <w:rPr>
                <w:sz w:val="20"/>
              </w:rPr>
              <w:t xml:space="preserve">11</w:t>
            </w:r>
          </w:p>
        </w:tc>
        <w:tc>
          <w:tcPr>
            <w:tcW w:w="849" w:type="dxa"/>
          </w:tcPr>
          <w:p>
            <w:pPr>
              <w:pStyle w:val="0"/>
              <w:jc w:val="center"/>
            </w:pPr>
            <w:r>
              <w:rPr>
                <w:sz w:val="20"/>
              </w:rPr>
              <w:t xml:space="preserve">11</w:t>
            </w:r>
          </w:p>
        </w:tc>
      </w:tr>
      <w:tr>
        <w:tc>
          <w:tcPr>
            <w:tcW w:w="567" w:type="dxa"/>
          </w:tcPr>
          <w:p>
            <w:pPr>
              <w:pStyle w:val="0"/>
              <w:jc w:val="center"/>
            </w:pPr>
            <w:r>
              <w:rPr>
                <w:sz w:val="20"/>
              </w:rPr>
              <w:t xml:space="preserve">15.</w:t>
            </w:r>
          </w:p>
        </w:tc>
        <w:tc>
          <w:tcPr>
            <w:tcW w:w="2835" w:type="dxa"/>
          </w:tcPr>
          <w:p>
            <w:pPr>
              <w:pStyle w:val="0"/>
            </w:pPr>
            <w:r>
              <w:rPr>
                <w:sz w:val="20"/>
              </w:rPr>
              <w:t xml:space="preserve">Государственная поддержка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2268" w:type="dxa"/>
          </w:tcPr>
          <w:p>
            <w:pPr>
              <w:pStyle w:val="0"/>
            </w:pPr>
            <w:r>
              <w:rPr>
                <w:sz w:val="20"/>
              </w:rPr>
              <w:t xml:space="preserve">Государственная программа Владимирской области "Развитие культуры"</w:t>
            </w:r>
          </w:p>
        </w:tc>
        <w:tc>
          <w:tcPr>
            <w:tcW w:w="1984" w:type="dxa"/>
          </w:tcPr>
          <w:p>
            <w:pPr>
              <w:pStyle w:val="0"/>
            </w:pPr>
            <w:r>
              <w:rPr>
                <w:sz w:val="20"/>
              </w:rPr>
              <w:t xml:space="preserve">Департамент культуры Владимирской области</w:t>
            </w:r>
          </w:p>
        </w:tc>
        <w:tc>
          <w:tcPr>
            <w:tcW w:w="2551" w:type="dxa"/>
          </w:tcPr>
          <w:p>
            <w:pPr>
              <w:pStyle w:val="0"/>
            </w:pPr>
            <w:r>
              <w:rPr>
                <w:sz w:val="20"/>
              </w:rPr>
              <w:t xml:space="preserve">Приобретены передвижные многофункциональные культурные центры (автоклубы) для обслуживания сельского населения субъектов Российской Федерации</w:t>
            </w:r>
          </w:p>
        </w:tc>
        <w:tc>
          <w:tcPr>
            <w:tcW w:w="850" w:type="dxa"/>
          </w:tcPr>
          <w:p>
            <w:pPr>
              <w:pStyle w:val="0"/>
            </w:pPr>
            <w:r>
              <w:rPr>
                <w:sz w:val="20"/>
              </w:rPr>
              <w:t xml:space="preserve">ед.</w:t>
            </w:r>
          </w:p>
        </w:tc>
        <w:tc>
          <w:tcPr>
            <w:tcW w:w="851" w:type="dxa"/>
          </w:tcPr>
          <w:p>
            <w:pPr>
              <w:pStyle w:val="0"/>
              <w:jc w:val="center"/>
            </w:pPr>
            <w:r>
              <w:rPr>
                <w:sz w:val="20"/>
              </w:rPr>
              <w:t xml:space="preserve">-</w:t>
            </w:r>
          </w:p>
        </w:tc>
        <w:tc>
          <w:tcPr>
            <w:tcW w:w="849" w:type="dxa"/>
          </w:tcPr>
          <w:p>
            <w:pPr>
              <w:pStyle w:val="0"/>
              <w:jc w:val="center"/>
            </w:pPr>
            <w:r>
              <w:rPr>
                <w:sz w:val="20"/>
              </w:rPr>
              <w:t xml:space="preserve">3</w:t>
            </w:r>
          </w:p>
        </w:tc>
        <w:tc>
          <w:tcPr>
            <w:tcW w:w="849" w:type="dxa"/>
          </w:tcPr>
          <w:p>
            <w:pPr>
              <w:pStyle w:val="0"/>
              <w:jc w:val="center"/>
            </w:pPr>
            <w:r>
              <w:rPr>
                <w:sz w:val="20"/>
              </w:rPr>
              <w:t xml:space="preserve">3</w:t>
            </w:r>
          </w:p>
        </w:tc>
      </w:tr>
      <w:tr>
        <w:tc>
          <w:tcPr>
            <w:tcW w:w="567" w:type="dxa"/>
          </w:tcPr>
          <w:p>
            <w:pPr>
              <w:pStyle w:val="0"/>
              <w:jc w:val="center"/>
            </w:pPr>
            <w:r>
              <w:rPr>
                <w:sz w:val="20"/>
              </w:rPr>
              <w:t xml:space="preserve">16.</w:t>
            </w:r>
          </w:p>
        </w:tc>
        <w:tc>
          <w:tcPr>
            <w:tcW w:w="283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Построены и введены в эксплуатацию объекты спорта муниципальной собственности</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tcPr>
          <w:p>
            <w:pPr>
              <w:pStyle w:val="0"/>
              <w:jc w:val="center"/>
            </w:pPr>
            <w:r>
              <w:rPr>
                <w:sz w:val="20"/>
              </w:rPr>
              <w:t xml:space="preserve">17.</w:t>
            </w:r>
          </w:p>
        </w:tc>
        <w:tc>
          <w:tcPr>
            <w:tcW w:w="2835"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поставленных комплектов спортивного оборудования (малые спортивные формы и футбольные поля)</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vMerge w:val="restart"/>
          </w:tcPr>
          <w:p>
            <w:pPr>
              <w:pStyle w:val="0"/>
              <w:jc w:val="center"/>
            </w:pPr>
            <w:r>
              <w:rPr>
                <w:sz w:val="20"/>
              </w:rPr>
              <w:t xml:space="preserve">18.</w:t>
            </w:r>
          </w:p>
        </w:tc>
        <w:tc>
          <w:tcPr>
            <w:tcW w:w="2835" w:type="dxa"/>
            <w:vMerge w:val="restart"/>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2268" w:type="dxa"/>
            <w:vMerge w:val="restart"/>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vMerge w:val="restart"/>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организаций, которым предоставлены средства иного межбюджетного трансферта на содержание объектов спортивной инфраструктуры муниципальной собственности для занятий физической культурой и спортом</w:t>
            </w:r>
          </w:p>
        </w:tc>
        <w:tc>
          <w:tcPr>
            <w:tcW w:w="850" w:type="dxa"/>
          </w:tcPr>
          <w:p>
            <w:pPr>
              <w:pStyle w:val="0"/>
            </w:pPr>
            <w:r>
              <w:rPr>
                <w:sz w:val="20"/>
              </w:rPr>
              <w:t xml:space="preserve">шт.</w:t>
            </w:r>
          </w:p>
        </w:tc>
        <w:tc>
          <w:tcPr>
            <w:tcW w:w="851" w:type="dxa"/>
          </w:tcPr>
          <w:p>
            <w:pPr>
              <w:pStyle w:val="0"/>
              <w:jc w:val="center"/>
            </w:pPr>
            <w:r>
              <w:rPr>
                <w:sz w:val="20"/>
              </w:rPr>
              <w:t xml:space="preserve">70</w:t>
            </w:r>
          </w:p>
        </w:tc>
        <w:tc>
          <w:tcPr>
            <w:tcW w:w="849" w:type="dxa"/>
          </w:tcPr>
          <w:p>
            <w:pPr>
              <w:pStyle w:val="0"/>
              <w:jc w:val="center"/>
            </w:pPr>
            <w:r>
              <w:rPr>
                <w:sz w:val="20"/>
              </w:rPr>
              <w:t xml:space="preserve">70</w:t>
            </w:r>
          </w:p>
        </w:tc>
        <w:tc>
          <w:tcPr>
            <w:tcW w:w="849" w:type="dxa"/>
          </w:tcPr>
          <w:p>
            <w:pPr>
              <w:pStyle w:val="0"/>
              <w:jc w:val="center"/>
            </w:pPr>
            <w:r>
              <w:rPr>
                <w:sz w:val="20"/>
              </w:rPr>
              <w:t xml:space="preserve">70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спортивных площадок открытого типа, для которых закуплено оборудование</w:t>
            </w:r>
          </w:p>
        </w:tc>
        <w:tc>
          <w:tcPr>
            <w:tcW w:w="850" w:type="dxa"/>
          </w:tcPr>
          <w:p>
            <w:pPr>
              <w:pStyle w:val="0"/>
            </w:pPr>
            <w:r>
              <w:rPr>
                <w:sz w:val="20"/>
              </w:rPr>
              <w:t xml:space="preserve">шт.</w:t>
            </w:r>
          </w:p>
        </w:tc>
        <w:tc>
          <w:tcPr>
            <w:tcW w:w="851" w:type="dxa"/>
          </w:tcPr>
          <w:p>
            <w:pPr>
              <w:pStyle w:val="0"/>
              <w:jc w:val="center"/>
            </w:pPr>
            <w:r>
              <w:rPr>
                <w:sz w:val="20"/>
              </w:rPr>
              <w:t xml:space="preserve">7</w:t>
            </w:r>
          </w:p>
        </w:tc>
        <w:tc>
          <w:tcPr>
            <w:tcW w:w="849" w:type="dxa"/>
          </w:tcPr>
          <w:p>
            <w:pPr>
              <w:pStyle w:val="0"/>
              <w:jc w:val="center"/>
            </w:pPr>
            <w:r>
              <w:rPr>
                <w:sz w:val="20"/>
              </w:rPr>
              <w:t xml:space="preserve">7</w:t>
            </w:r>
          </w:p>
        </w:tc>
        <w:tc>
          <w:tcPr>
            <w:tcW w:w="849" w:type="dxa"/>
          </w:tcPr>
          <w:p>
            <w:pPr>
              <w:pStyle w:val="0"/>
              <w:jc w:val="center"/>
            </w:pPr>
            <w:r>
              <w:rPr>
                <w:sz w:val="20"/>
              </w:rPr>
              <w:t xml:space="preserve">7</w:t>
            </w:r>
          </w:p>
        </w:tc>
      </w:tr>
      <w:tr>
        <w:tc>
          <w:tcPr>
            <w:tcW w:w="567" w:type="dxa"/>
          </w:tcPr>
          <w:p>
            <w:pPr>
              <w:pStyle w:val="0"/>
              <w:jc w:val="center"/>
            </w:pPr>
            <w:r>
              <w:rPr>
                <w:sz w:val="20"/>
              </w:rPr>
              <w:t xml:space="preserve">19.</w:t>
            </w:r>
          </w:p>
        </w:tc>
        <w:tc>
          <w:tcPr>
            <w:tcW w:w="2835"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организаций, осуществляющих подготовку спортивного резерва для сборных команд, в том числе спортивных сборных команд Российской Федерации, которым оказана государственная поддержка</w:t>
            </w:r>
          </w:p>
        </w:tc>
        <w:tc>
          <w:tcPr>
            <w:tcW w:w="850" w:type="dxa"/>
          </w:tcPr>
          <w:p>
            <w:pPr>
              <w:pStyle w:val="0"/>
            </w:pPr>
            <w:r>
              <w:rPr>
                <w:sz w:val="20"/>
              </w:rPr>
              <w:t xml:space="preserve">ед.</w:t>
            </w:r>
          </w:p>
        </w:tc>
        <w:tc>
          <w:tcPr>
            <w:tcW w:w="851" w:type="dxa"/>
          </w:tcPr>
          <w:p>
            <w:pPr>
              <w:pStyle w:val="0"/>
              <w:jc w:val="center"/>
            </w:pPr>
            <w:r>
              <w:rPr>
                <w:sz w:val="20"/>
              </w:rPr>
              <w:t xml:space="preserve">4</w:t>
            </w:r>
          </w:p>
        </w:tc>
        <w:tc>
          <w:tcPr>
            <w:tcW w:w="849" w:type="dxa"/>
          </w:tcPr>
          <w:p>
            <w:pPr>
              <w:pStyle w:val="0"/>
              <w:jc w:val="center"/>
            </w:pPr>
            <w:r>
              <w:rPr>
                <w:sz w:val="20"/>
              </w:rPr>
              <w:t xml:space="preserve">4</w:t>
            </w:r>
          </w:p>
        </w:tc>
        <w:tc>
          <w:tcPr>
            <w:tcW w:w="849" w:type="dxa"/>
          </w:tcPr>
          <w:p>
            <w:pPr>
              <w:pStyle w:val="0"/>
              <w:jc w:val="center"/>
            </w:pPr>
            <w:r>
              <w:rPr>
                <w:sz w:val="20"/>
              </w:rPr>
              <w:t xml:space="preserve">4</w:t>
            </w:r>
          </w:p>
        </w:tc>
      </w:tr>
      <w:tr>
        <w:tc>
          <w:tcPr>
            <w:tcW w:w="567" w:type="dxa"/>
          </w:tcPr>
          <w:p>
            <w:pPr>
              <w:pStyle w:val="0"/>
              <w:jc w:val="center"/>
            </w:pPr>
            <w:r>
              <w:rPr>
                <w:sz w:val="20"/>
              </w:rPr>
              <w:t xml:space="preserve">20.</w:t>
            </w:r>
          </w:p>
        </w:tc>
        <w:tc>
          <w:tcPr>
            <w:tcW w:w="2835"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организаций спортивной подготовки, в том числе спортивных школ по хоккею, в которых поставлено новое спортивное оборудование</w:t>
            </w:r>
          </w:p>
        </w:tc>
        <w:tc>
          <w:tcPr>
            <w:tcW w:w="850" w:type="dxa"/>
          </w:tcPr>
          <w:p>
            <w:pPr>
              <w:pStyle w:val="0"/>
            </w:pPr>
            <w:r>
              <w:rPr>
                <w:sz w:val="20"/>
              </w:rPr>
              <w:t xml:space="preserve">ед.</w:t>
            </w:r>
          </w:p>
        </w:tc>
        <w:tc>
          <w:tcPr>
            <w:tcW w:w="851" w:type="dxa"/>
          </w:tcPr>
          <w:p>
            <w:pPr>
              <w:pStyle w:val="0"/>
              <w:jc w:val="center"/>
            </w:pPr>
            <w:r>
              <w:rPr>
                <w:sz w:val="20"/>
              </w:rPr>
              <w:t xml:space="preserve">2</w:t>
            </w:r>
          </w:p>
        </w:tc>
        <w:tc>
          <w:tcPr>
            <w:tcW w:w="849" w:type="dxa"/>
          </w:tcPr>
          <w:p>
            <w:pPr>
              <w:pStyle w:val="0"/>
              <w:jc w:val="center"/>
            </w:pPr>
            <w:r>
              <w:rPr>
                <w:sz w:val="20"/>
              </w:rPr>
              <w:t xml:space="preserve">2</w:t>
            </w:r>
          </w:p>
        </w:tc>
        <w:tc>
          <w:tcPr>
            <w:tcW w:w="849" w:type="dxa"/>
          </w:tcPr>
          <w:p>
            <w:pPr>
              <w:pStyle w:val="0"/>
              <w:jc w:val="center"/>
            </w:pPr>
            <w:r>
              <w:rPr>
                <w:sz w:val="20"/>
              </w:rPr>
              <w:t xml:space="preserve">2</w:t>
            </w:r>
          </w:p>
        </w:tc>
      </w:tr>
      <w:tr>
        <w:tc>
          <w:tcPr>
            <w:tcW w:w="567" w:type="dxa"/>
            <w:vMerge w:val="restart"/>
          </w:tcPr>
          <w:p>
            <w:pPr>
              <w:pStyle w:val="0"/>
              <w:jc w:val="center"/>
            </w:pPr>
            <w:r>
              <w:rPr>
                <w:sz w:val="20"/>
              </w:rPr>
              <w:t xml:space="preserve">21.</w:t>
            </w:r>
          </w:p>
        </w:tc>
        <w:tc>
          <w:tcPr>
            <w:tcW w:w="2835" w:type="dxa"/>
            <w:vMerge w:val="restart"/>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2268" w:type="dxa"/>
            <w:vMerge w:val="restart"/>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vMerge w:val="restart"/>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В организации, осуществляющие спортивную подготовку, поставлено новое спортивное оборудование и инвентарь для приведения в нормативное состояние</w:t>
            </w:r>
          </w:p>
        </w:tc>
        <w:tc>
          <w:tcPr>
            <w:tcW w:w="850" w:type="dxa"/>
          </w:tcPr>
          <w:p>
            <w:pPr>
              <w:pStyle w:val="0"/>
            </w:pPr>
            <w:r>
              <w:rPr>
                <w:sz w:val="20"/>
              </w:rPr>
              <w:t xml:space="preserve">шт.</w:t>
            </w:r>
          </w:p>
        </w:tc>
        <w:tc>
          <w:tcPr>
            <w:tcW w:w="851" w:type="dxa"/>
          </w:tcPr>
          <w:p>
            <w:pPr>
              <w:pStyle w:val="0"/>
              <w:jc w:val="center"/>
            </w:pPr>
            <w:r>
              <w:rPr>
                <w:sz w:val="20"/>
              </w:rPr>
              <w:t xml:space="preserve">34</w:t>
            </w:r>
          </w:p>
        </w:tc>
        <w:tc>
          <w:tcPr>
            <w:tcW w:w="849" w:type="dxa"/>
          </w:tcPr>
          <w:p>
            <w:pPr>
              <w:pStyle w:val="0"/>
              <w:jc w:val="center"/>
            </w:pPr>
            <w:r>
              <w:rPr>
                <w:sz w:val="20"/>
              </w:rPr>
              <w:t xml:space="preserve">34</w:t>
            </w:r>
          </w:p>
        </w:tc>
        <w:tc>
          <w:tcPr>
            <w:tcW w:w="849" w:type="dxa"/>
          </w:tcPr>
          <w:p>
            <w:pPr>
              <w:pStyle w:val="0"/>
              <w:jc w:val="center"/>
            </w:pPr>
            <w:r>
              <w:rPr>
                <w:sz w:val="20"/>
              </w:rPr>
              <w:t xml:space="preserve">34</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занимающихся на этапах спортивной подготовки в организациях, осуществляющих спортивную подготовку,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pPr>
              <w:pStyle w:val="0"/>
            </w:pPr>
            <w:r>
              <w:rPr>
                <w:sz w:val="20"/>
              </w:rPr>
              <w:t xml:space="preserve">человек</w:t>
            </w:r>
          </w:p>
        </w:tc>
        <w:tc>
          <w:tcPr>
            <w:tcW w:w="851" w:type="dxa"/>
          </w:tcPr>
          <w:p>
            <w:pPr>
              <w:pStyle w:val="0"/>
              <w:jc w:val="center"/>
            </w:pPr>
            <w:r>
              <w:rPr>
                <w:sz w:val="20"/>
              </w:rPr>
              <w:t xml:space="preserve">12451</w:t>
            </w:r>
          </w:p>
        </w:tc>
        <w:tc>
          <w:tcPr>
            <w:tcW w:w="849" w:type="dxa"/>
          </w:tcPr>
          <w:p>
            <w:pPr>
              <w:pStyle w:val="0"/>
              <w:jc w:val="center"/>
            </w:pPr>
            <w:r>
              <w:rPr>
                <w:sz w:val="20"/>
              </w:rPr>
              <w:t xml:space="preserve">12451</w:t>
            </w:r>
          </w:p>
        </w:tc>
        <w:tc>
          <w:tcPr>
            <w:tcW w:w="849" w:type="dxa"/>
          </w:tcPr>
          <w:p>
            <w:pPr>
              <w:pStyle w:val="0"/>
              <w:jc w:val="center"/>
            </w:pPr>
            <w:r>
              <w:rPr>
                <w:sz w:val="20"/>
              </w:rPr>
              <w:t xml:space="preserve">12451</w:t>
            </w:r>
          </w:p>
        </w:tc>
      </w:tr>
      <w:tr>
        <w:tc>
          <w:tcPr>
            <w:tcW w:w="567" w:type="dxa"/>
          </w:tcPr>
          <w:p>
            <w:pPr>
              <w:pStyle w:val="0"/>
              <w:jc w:val="center"/>
            </w:pPr>
            <w:r>
              <w:rPr>
                <w:sz w:val="20"/>
              </w:rPr>
              <w:t xml:space="preserve">22.</w:t>
            </w:r>
          </w:p>
        </w:tc>
        <w:tc>
          <w:tcPr>
            <w:tcW w:w="2835"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членов сборных команд, подготовленных в муниципальном образовании,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pPr>
              <w:pStyle w:val="0"/>
            </w:pPr>
            <w:r>
              <w:rPr>
                <w:sz w:val="20"/>
              </w:rPr>
              <w:t xml:space="preserve">человек</w:t>
            </w:r>
          </w:p>
        </w:tc>
        <w:tc>
          <w:tcPr>
            <w:tcW w:w="851" w:type="dxa"/>
          </w:tcPr>
          <w:p>
            <w:pPr>
              <w:pStyle w:val="0"/>
              <w:jc w:val="center"/>
            </w:pPr>
            <w:r>
              <w:rPr>
                <w:sz w:val="20"/>
              </w:rPr>
              <w:t xml:space="preserve">53</w:t>
            </w:r>
          </w:p>
        </w:tc>
        <w:tc>
          <w:tcPr>
            <w:tcW w:w="849" w:type="dxa"/>
          </w:tcPr>
          <w:p>
            <w:pPr>
              <w:pStyle w:val="0"/>
              <w:jc w:val="center"/>
            </w:pPr>
            <w:r>
              <w:rPr>
                <w:sz w:val="20"/>
              </w:rPr>
              <w:t xml:space="preserve">53</w:t>
            </w:r>
          </w:p>
        </w:tc>
        <w:tc>
          <w:tcPr>
            <w:tcW w:w="849" w:type="dxa"/>
          </w:tcPr>
          <w:p>
            <w:pPr>
              <w:pStyle w:val="0"/>
              <w:jc w:val="center"/>
            </w:pPr>
            <w:r>
              <w:rPr>
                <w:sz w:val="20"/>
              </w:rPr>
              <w:t xml:space="preserve">53</w:t>
            </w:r>
          </w:p>
        </w:tc>
      </w:tr>
      <w:tr>
        <w:tc>
          <w:tcPr>
            <w:tcW w:w="567" w:type="dxa"/>
            <w:vMerge w:val="restart"/>
          </w:tcPr>
          <w:p>
            <w:pPr>
              <w:pStyle w:val="0"/>
              <w:jc w:val="center"/>
            </w:pPr>
            <w:r>
              <w:rPr>
                <w:sz w:val="20"/>
              </w:rPr>
              <w:t xml:space="preserve">23.</w:t>
            </w:r>
          </w:p>
        </w:tc>
        <w:tc>
          <w:tcPr>
            <w:tcW w:w="2835" w:type="dxa"/>
            <w:vMerge w:val="restart"/>
          </w:tcPr>
          <w:p>
            <w:pPr>
              <w:pStyle w:val="0"/>
            </w:pPr>
            <w:r>
              <w:rPr>
                <w:sz w:val="20"/>
              </w:rPr>
              <w:t xml:space="preserve">Субсидия на развитие физической культуры и спорта</w:t>
            </w:r>
          </w:p>
        </w:tc>
        <w:tc>
          <w:tcPr>
            <w:tcW w:w="2268" w:type="dxa"/>
            <w:vMerge w:val="restart"/>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vMerge w:val="restart"/>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приобретенных основных средств для организаций, осуществляющих деятельность в области физической культуры и спорта</w:t>
            </w:r>
          </w:p>
        </w:tc>
        <w:tc>
          <w:tcPr>
            <w:tcW w:w="850" w:type="dxa"/>
          </w:tcPr>
          <w:p>
            <w:pPr>
              <w:pStyle w:val="0"/>
            </w:pPr>
            <w:r>
              <w:rPr>
                <w:sz w:val="20"/>
              </w:rPr>
              <w:t xml:space="preserve">шт.</w:t>
            </w:r>
          </w:p>
        </w:tc>
        <w:tc>
          <w:tcPr>
            <w:tcW w:w="851" w:type="dxa"/>
          </w:tcPr>
          <w:p>
            <w:pPr>
              <w:pStyle w:val="0"/>
              <w:jc w:val="center"/>
            </w:pPr>
            <w:r>
              <w:rPr>
                <w:sz w:val="20"/>
              </w:rPr>
              <w:t xml:space="preserve">9</w:t>
            </w:r>
          </w:p>
        </w:tc>
        <w:tc>
          <w:tcPr>
            <w:tcW w:w="849" w:type="dxa"/>
          </w:tcPr>
          <w:p>
            <w:pPr>
              <w:pStyle w:val="0"/>
              <w:jc w:val="center"/>
            </w:pPr>
            <w:r>
              <w:rPr>
                <w:sz w:val="20"/>
              </w:rPr>
              <w:t xml:space="preserve">6</w:t>
            </w:r>
          </w:p>
        </w:tc>
        <w:tc>
          <w:tcPr>
            <w:tcW w:w="849" w:type="dxa"/>
          </w:tcPr>
          <w:p>
            <w:pPr>
              <w:pStyle w:val="0"/>
              <w:jc w:val="center"/>
            </w:pPr>
            <w:r>
              <w:rPr>
                <w:sz w:val="20"/>
              </w:rPr>
              <w:t xml:space="preserve">6</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приобретенных автомобилей, не являющихся легковыми, массой более 3500 кг и числом посадочных мест (без учета водительского места) более 8 для организаций спортивной подготовки</w:t>
            </w:r>
          </w:p>
        </w:tc>
        <w:tc>
          <w:tcPr>
            <w:tcW w:w="850" w:type="dxa"/>
          </w:tcPr>
          <w:p>
            <w:pPr>
              <w:pStyle w:val="0"/>
            </w:pPr>
            <w:r>
              <w:rPr>
                <w:sz w:val="20"/>
              </w:rPr>
              <w:t xml:space="preserve">шт.</w:t>
            </w:r>
          </w:p>
        </w:tc>
        <w:tc>
          <w:tcPr>
            <w:tcW w:w="851" w:type="dxa"/>
          </w:tcPr>
          <w:p>
            <w:pPr>
              <w:pStyle w:val="0"/>
              <w:jc w:val="center"/>
            </w:pPr>
            <w:r>
              <w:rPr>
                <w:sz w:val="20"/>
              </w:rPr>
              <w:t xml:space="preserve">1</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приобретенной специализированной техники, необходимой для создания условий по организации спортивной подготовки и (или) ухода за объектами спортивной инфраструктуры</w:t>
            </w:r>
          </w:p>
        </w:tc>
        <w:tc>
          <w:tcPr>
            <w:tcW w:w="850" w:type="dxa"/>
          </w:tcPr>
          <w:p>
            <w:pPr>
              <w:pStyle w:val="0"/>
            </w:pPr>
            <w:r>
              <w:rPr>
                <w:sz w:val="20"/>
              </w:rPr>
              <w:t xml:space="preserve">шт.</w:t>
            </w:r>
          </w:p>
        </w:tc>
        <w:tc>
          <w:tcPr>
            <w:tcW w:w="851" w:type="dxa"/>
          </w:tcPr>
          <w:p>
            <w:pPr>
              <w:pStyle w:val="0"/>
              <w:jc w:val="center"/>
            </w:pPr>
            <w:r>
              <w:rPr>
                <w:sz w:val="20"/>
              </w:rPr>
              <w:t xml:space="preserve">2</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постановленного в организации, осуществляющие деятельность в области физической культуры и спорта, и смонтированного спортивного оборудования</w:t>
            </w:r>
          </w:p>
        </w:tc>
        <w:tc>
          <w:tcPr>
            <w:tcW w:w="850" w:type="dxa"/>
          </w:tcPr>
          <w:p>
            <w:pPr>
              <w:pStyle w:val="0"/>
            </w:pPr>
            <w:r>
              <w:rPr>
                <w:sz w:val="20"/>
              </w:rPr>
              <w:t xml:space="preserve">шт.</w:t>
            </w:r>
          </w:p>
        </w:tc>
        <w:tc>
          <w:tcPr>
            <w:tcW w:w="851" w:type="dxa"/>
          </w:tcPr>
          <w:p>
            <w:pPr>
              <w:pStyle w:val="0"/>
              <w:jc w:val="center"/>
            </w:pPr>
            <w:r>
              <w:rPr>
                <w:sz w:val="20"/>
              </w:rPr>
              <w:t xml:space="preserve">2</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tcPr>
          <w:p>
            <w:pPr>
              <w:pStyle w:val="0"/>
              <w:jc w:val="center"/>
            </w:pPr>
            <w:r>
              <w:rPr>
                <w:sz w:val="20"/>
              </w:rPr>
              <w:t xml:space="preserve">24.</w:t>
            </w:r>
          </w:p>
        </w:tc>
        <w:tc>
          <w:tcPr>
            <w:tcW w:w="2835" w:type="dxa"/>
          </w:tcPr>
          <w:p>
            <w:pPr>
              <w:pStyle w:val="0"/>
            </w:pPr>
            <w:r>
              <w:rPr>
                <w:sz w:val="20"/>
              </w:rPr>
              <w:t xml:space="preserve">Субсидия на развитие базовых и олимпийских видов спорта в МБУ г. Коврова "СШОР дзюдо, самбо им. А.М. Рыбина"</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занимающихся в МБУ г. Коврова "СШОР дзюдо, самбо им. А.М. Рыбина"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pPr>
              <w:pStyle w:val="0"/>
            </w:pPr>
            <w:r>
              <w:rPr>
                <w:sz w:val="20"/>
              </w:rPr>
              <w:t xml:space="preserve">человек</w:t>
            </w:r>
          </w:p>
        </w:tc>
        <w:tc>
          <w:tcPr>
            <w:tcW w:w="851" w:type="dxa"/>
          </w:tcPr>
          <w:p>
            <w:pPr>
              <w:pStyle w:val="0"/>
              <w:jc w:val="center"/>
            </w:pPr>
            <w:r>
              <w:rPr>
                <w:sz w:val="20"/>
              </w:rPr>
              <w:t xml:space="preserve">457</w:t>
            </w:r>
          </w:p>
        </w:tc>
        <w:tc>
          <w:tcPr>
            <w:tcW w:w="849" w:type="dxa"/>
          </w:tcPr>
          <w:p>
            <w:pPr>
              <w:pStyle w:val="0"/>
              <w:jc w:val="center"/>
            </w:pPr>
            <w:r>
              <w:rPr>
                <w:sz w:val="20"/>
              </w:rPr>
              <w:t xml:space="preserve">457</w:t>
            </w:r>
          </w:p>
        </w:tc>
        <w:tc>
          <w:tcPr>
            <w:tcW w:w="849" w:type="dxa"/>
          </w:tcPr>
          <w:p>
            <w:pPr>
              <w:pStyle w:val="0"/>
              <w:jc w:val="center"/>
            </w:pPr>
            <w:r>
              <w:rPr>
                <w:sz w:val="20"/>
              </w:rPr>
              <w:t xml:space="preserve">457</w:t>
            </w:r>
          </w:p>
        </w:tc>
      </w:tr>
      <w:tr>
        <w:tc>
          <w:tcPr>
            <w:tcW w:w="567" w:type="dxa"/>
          </w:tcPr>
          <w:p>
            <w:pPr>
              <w:pStyle w:val="0"/>
              <w:jc w:val="center"/>
            </w:pPr>
            <w:r>
              <w:rPr>
                <w:sz w:val="20"/>
              </w:rPr>
              <w:t xml:space="preserve">25.</w:t>
            </w:r>
          </w:p>
        </w:tc>
        <w:tc>
          <w:tcPr>
            <w:tcW w:w="2835"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занимающихся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pPr>
              <w:pStyle w:val="0"/>
            </w:pPr>
            <w:r>
              <w:rPr>
                <w:sz w:val="20"/>
              </w:rPr>
              <w:t xml:space="preserve">человек</w:t>
            </w:r>
          </w:p>
        </w:tc>
        <w:tc>
          <w:tcPr>
            <w:tcW w:w="851" w:type="dxa"/>
          </w:tcPr>
          <w:p>
            <w:pPr>
              <w:pStyle w:val="0"/>
              <w:jc w:val="center"/>
            </w:pPr>
            <w:r>
              <w:rPr>
                <w:sz w:val="20"/>
              </w:rPr>
              <w:t xml:space="preserve">204</w:t>
            </w:r>
          </w:p>
        </w:tc>
        <w:tc>
          <w:tcPr>
            <w:tcW w:w="849" w:type="dxa"/>
          </w:tcPr>
          <w:p>
            <w:pPr>
              <w:pStyle w:val="0"/>
              <w:jc w:val="center"/>
            </w:pPr>
            <w:r>
              <w:rPr>
                <w:sz w:val="20"/>
              </w:rPr>
              <w:t xml:space="preserve">204</w:t>
            </w:r>
          </w:p>
        </w:tc>
        <w:tc>
          <w:tcPr>
            <w:tcW w:w="849" w:type="dxa"/>
          </w:tcPr>
          <w:p>
            <w:pPr>
              <w:pStyle w:val="0"/>
              <w:jc w:val="center"/>
            </w:pPr>
            <w:r>
              <w:rPr>
                <w:sz w:val="20"/>
              </w:rPr>
              <w:t xml:space="preserve">204</w:t>
            </w:r>
          </w:p>
        </w:tc>
      </w:tr>
      <w:tr>
        <w:tc>
          <w:tcPr>
            <w:tcW w:w="567" w:type="dxa"/>
          </w:tcPr>
          <w:p>
            <w:pPr>
              <w:pStyle w:val="0"/>
              <w:jc w:val="center"/>
            </w:pPr>
            <w:r>
              <w:rPr>
                <w:sz w:val="20"/>
              </w:rPr>
              <w:t xml:space="preserve">26.</w:t>
            </w:r>
          </w:p>
        </w:tc>
        <w:tc>
          <w:tcPr>
            <w:tcW w:w="2835"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занимающихся в муниципальном бюджетном учреждении "Спортивная школа олимпийского резерва имени А.А. Прокуророва" на этапах совершенствования спортивного мастерства и высшего спортивного мастерства не меньше значения, отраженного в форме статистической отчетности N 5-ФК "Сведения по организациям, осуществляющих спортивную подготовку" за отчетный год</w:t>
            </w:r>
          </w:p>
        </w:tc>
        <w:tc>
          <w:tcPr>
            <w:tcW w:w="850" w:type="dxa"/>
          </w:tcPr>
          <w:p>
            <w:pPr>
              <w:pStyle w:val="0"/>
            </w:pPr>
            <w:r>
              <w:rPr>
                <w:sz w:val="20"/>
              </w:rPr>
              <w:t xml:space="preserve">человек</w:t>
            </w:r>
          </w:p>
        </w:tc>
        <w:tc>
          <w:tcPr>
            <w:tcW w:w="851" w:type="dxa"/>
          </w:tcPr>
          <w:p>
            <w:pPr>
              <w:pStyle w:val="0"/>
              <w:jc w:val="center"/>
            </w:pPr>
            <w:r>
              <w:rPr>
                <w:sz w:val="20"/>
              </w:rPr>
              <w:t xml:space="preserve">16</w:t>
            </w:r>
          </w:p>
        </w:tc>
        <w:tc>
          <w:tcPr>
            <w:tcW w:w="849" w:type="dxa"/>
          </w:tcPr>
          <w:p>
            <w:pPr>
              <w:pStyle w:val="0"/>
              <w:jc w:val="center"/>
            </w:pPr>
            <w:r>
              <w:rPr>
                <w:sz w:val="20"/>
              </w:rPr>
              <w:t xml:space="preserve">16</w:t>
            </w:r>
          </w:p>
        </w:tc>
        <w:tc>
          <w:tcPr>
            <w:tcW w:w="849" w:type="dxa"/>
          </w:tcPr>
          <w:p>
            <w:pPr>
              <w:pStyle w:val="0"/>
              <w:jc w:val="center"/>
            </w:pPr>
            <w:r>
              <w:rPr>
                <w:sz w:val="20"/>
              </w:rPr>
              <w:t xml:space="preserve">16</w:t>
            </w:r>
          </w:p>
        </w:tc>
      </w:tr>
      <w:tr>
        <w:tc>
          <w:tcPr>
            <w:tcW w:w="567" w:type="dxa"/>
          </w:tcPr>
          <w:p>
            <w:pPr>
              <w:pStyle w:val="0"/>
              <w:jc w:val="center"/>
            </w:pPr>
            <w:r>
              <w:rPr>
                <w:sz w:val="20"/>
              </w:rPr>
              <w:t xml:space="preserve">27.</w:t>
            </w:r>
          </w:p>
        </w:tc>
        <w:tc>
          <w:tcPr>
            <w:tcW w:w="2835" w:type="dxa"/>
          </w:tcPr>
          <w:p>
            <w:pPr>
              <w:pStyle w:val="0"/>
            </w:pPr>
            <w:r>
              <w:rPr>
                <w:sz w:val="20"/>
              </w:rPr>
              <w:t xml:space="preserve">Субсидия на софинансирование закупки оборудования для создания "умных" спортивных площадок</w:t>
            </w:r>
          </w:p>
        </w:tc>
        <w:tc>
          <w:tcPr>
            <w:tcW w:w="226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984" w:type="dxa"/>
          </w:tcPr>
          <w:p>
            <w:pPr>
              <w:pStyle w:val="0"/>
            </w:pPr>
            <w:r>
              <w:rPr>
                <w:sz w:val="20"/>
              </w:rPr>
              <w:t xml:space="preserve">Департамент физической культуры и спорта Владимирской области</w:t>
            </w:r>
          </w:p>
        </w:tc>
        <w:tc>
          <w:tcPr>
            <w:tcW w:w="2551" w:type="dxa"/>
          </w:tcPr>
          <w:p>
            <w:pPr>
              <w:pStyle w:val="0"/>
            </w:pPr>
            <w:r>
              <w:rPr>
                <w:sz w:val="20"/>
              </w:rPr>
              <w:t xml:space="preserve">Количество созданных "умных" спортивных площадок</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1</w:t>
            </w:r>
          </w:p>
        </w:tc>
        <w:tc>
          <w:tcPr>
            <w:tcW w:w="849" w:type="dxa"/>
          </w:tcPr>
          <w:p>
            <w:pPr>
              <w:pStyle w:val="0"/>
              <w:jc w:val="center"/>
            </w:pPr>
            <w:r>
              <w:rPr>
                <w:sz w:val="20"/>
              </w:rPr>
              <w:t xml:space="preserve">0</w:t>
            </w:r>
          </w:p>
        </w:tc>
      </w:tr>
      <w:tr>
        <w:tc>
          <w:tcPr>
            <w:tcW w:w="567" w:type="dxa"/>
            <w:tcBorders>
              <w:bottom w:val="nil"/>
            </w:tcBorders>
            <w:vMerge w:val="restart"/>
          </w:tcPr>
          <w:p>
            <w:pPr>
              <w:pStyle w:val="0"/>
              <w:jc w:val="center"/>
            </w:pPr>
            <w:r>
              <w:rPr>
                <w:sz w:val="20"/>
              </w:rPr>
              <w:t xml:space="preserve">28.</w:t>
            </w:r>
          </w:p>
        </w:tc>
        <w:tc>
          <w:tcPr>
            <w:tcW w:w="2835" w:type="dxa"/>
            <w:tcBorders>
              <w:bottom w:val="nil"/>
            </w:tcBorders>
            <w:vMerge w:val="restart"/>
          </w:tcPr>
          <w:p>
            <w:pPr>
              <w:pStyle w:val="0"/>
            </w:pPr>
            <w:r>
              <w:rPr>
                <w:sz w:val="20"/>
              </w:rPr>
              <w:t xml:space="preserve">Субсидии на поддержку приоритетных направлений развития отрасли образования</w:t>
            </w:r>
          </w:p>
        </w:tc>
        <w:tc>
          <w:tcPr>
            <w:tcW w:w="2268" w:type="dxa"/>
            <w:tcBorders>
              <w:bottom w:val="nil"/>
            </w:tcBorders>
            <w:vMerge w:val="restart"/>
          </w:tcPr>
          <w:p>
            <w:pPr>
              <w:pStyle w:val="0"/>
            </w:pPr>
            <w:r>
              <w:rPr>
                <w:sz w:val="20"/>
              </w:rPr>
              <w:t xml:space="preserve">Государственная программа Владимирской области "Развитие образования"</w:t>
            </w:r>
          </w:p>
        </w:tc>
        <w:tc>
          <w:tcPr>
            <w:tcW w:w="1984" w:type="dxa"/>
            <w:tcBorders>
              <w:bottom w:val="nil"/>
            </w:tcBorders>
            <w:vMerge w:val="restart"/>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Доля обучающихся, получающих начальное общее образование в частных образовательных организациях, которым предоставлено бесплатное горячее питание, к общему количеству обучающихся, получающих начальное общее образование в частных образовательных организациях</w:t>
            </w:r>
          </w:p>
        </w:tc>
        <w:tc>
          <w:tcPr>
            <w:tcW w:w="850" w:type="dxa"/>
          </w:tcPr>
          <w:p>
            <w:pPr>
              <w:pStyle w:val="0"/>
            </w:pPr>
            <w:r>
              <w:rPr>
                <w:sz w:val="20"/>
              </w:rPr>
              <w:t xml:space="preserve">%</w:t>
            </w:r>
          </w:p>
        </w:tc>
        <w:tc>
          <w:tcPr>
            <w:tcW w:w="851" w:type="dxa"/>
          </w:tcPr>
          <w:p>
            <w:pPr>
              <w:pStyle w:val="0"/>
              <w:jc w:val="center"/>
            </w:pPr>
            <w:r>
              <w:rPr>
                <w:sz w:val="20"/>
              </w:rPr>
              <w:t xml:space="preserve">100</w:t>
            </w:r>
          </w:p>
        </w:tc>
        <w:tc>
          <w:tcPr>
            <w:tcW w:w="849" w:type="dxa"/>
          </w:tcPr>
          <w:p>
            <w:pPr>
              <w:pStyle w:val="0"/>
              <w:jc w:val="center"/>
            </w:pPr>
            <w:r>
              <w:rPr>
                <w:sz w:val="20"/>
              </w:rPr>
              <w:t xml:space="preserve">100</w:t>
            </w:r>
          </w:p>
        </w:tc>
        <w:tc>
          <w:tcPr>
            <w:tcW w:w="849" w:type="dxa"/>
          </w:tcPr>
          <w:p>
            <w:pPr>
              <w:pStyle w:val="0"/>
              <w:jc w:val="center"/>
            </w:pPr>
            <w:r>
              <w:rPr>
                <w:sz w:val="20"/>
              </w:rPr>
              <w:t xml:space="preserve">100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551" w:type="dxa"/>
          </w:tcPr>
          <w:p>
            <w:pPr>
              <w:pStyle w:val="0"/>
            </w:pPr>
            <w:r>
              <w:rPr>
                <w:sz w:val="20"/>
              </w:rPr>
              <w:t xml:space="preserve">Удельный вес детей школьного возраста, подлежащих отдыху в организациях отдыха детей и их оздоровления в каникулярный период за счет средств субсидии из областного бюджета бюджетам муниципальных образований на организацию отдыха детей в каникулярное время (к общему числу детей от 7 до 17 лет)</w:t>
            </w:r>
          </w:p>
        </w:tc>
        <w:tc>
          <w:tcPr>
            <w:tcW w:w="850" w:type="dxa"/>
          </w:tcPr>
          <w:p>
            <w:pPr>
              <w:pStyle w:val="0"/>
            </w:pPr>
            <w:r>
              <w:rPr>
                <w:sz w:val="20"/>
              </w:rPr>
              <w:t xml:space="preserve">%</w:t>
            </w:r>
          </w:p>
        </w:tc>
        <w:tc>
          <w:tcPr>
            <w:tcW w:w="851" w:type="dxa"/>
          </w:tcPr>
          <w:p>
            <w:pPr>
              <w:pStyle w:val="0"/>
              <w:jc w:val="center"/>
            </w:pPr>
            <w:r>
              <w:rPr>
                <w:sz w:val="20"/>
              </w:rPr>
              <w:t xml:space="preserve">41</w:t>
            </w:r>
          </w:p>
        </w:tc>
        <w:tc>
          <w:tcPr>
            <w:tcW w:w="849" w:type="dxa"/>
          </w:tcPr>
          <w:p>
            <w:pPr>
              <w:pStyle w:val="0"/>
              <w:jc w:val="center"/>
            </w:pPr>
            <w:r>
              <w:rPr>
                <w:sz w:val="20"/>
              </w:rPr>
              <w:t xml:space="preserve">41</w:t>
            </w:r>
          </w:p>
        </w:tc>
        <w:tc>
          <w:tcPr>
            <w:tcW w:w="849" w:type="dxa"/>
          </w:tcPr>
          <w:p>
            <w:pPr>
              <w:pStyle w:val="0"/>
              <w:jc w:val="center"/>
            </w:pPr>
            <w:r>
              <w:rPr>
                <w:sz w:val="20"/>
              </w:rPr>
              <w:t xml:space="preserve">41</w:t>
            </w:r>
          </w:p>
        </w:tc>
      </w:tr>
      <w:tr>
        <w:tc>
          <w:tcPr>
            <w:tcW w:w="567" w:type="dxa"/>
            <w:tcBorders>
              <w:top w:val="nil"/>
              <w:bottom w:val="nil"/>
            </w:tcBorders>
          </w:tcPr>
          <w:p>
            <w:pPr>
              <w:pStyle w:val="0"/>
            </w:pPr>
            <w:r>
              <w:rPr>
                <w:sz w:val="20"/>
              </w:rPr>
            </w:r>
          </w:p>
        </w:tc>
        <w:tc>
          <w:tcPr>
            <w:tcW w:w="2835" w:type="dxa"/>
            <w:tcBorders>
              <w:top w:val="nil"/>
              <w:bottom w:val="nil"/>
            </w:tcBorders>
          </w:tcPr>
          <w:p>
            <w:pPr>
              <w:pStyle w:val="0"/>
            </w:pPr>
            <w:r>
              <w:rPr>
                <w:sz w:val="20"/>
              </w:rPr>
            </w:r>
          </w:p>
        </w:tc>
        <w:tc>
          <w:tcPr>
            <w:tcW w:w="2268" w:type="dxa"/>
            <w:tcBorders>
              <w:top w:val="nil"/>
              <w:bottom w:val="nil"/>
            </w:tcBorders>
          </w:tcPr>
          <w:p>
            <w:pPr>
              <w:pStyle w:val="0"/>
            </w:pPr>
            <w:r>
              <w:rPr>
                <w:sz w:val="20"/>
              </w:rPr>
            </w:r>
          </w:p>
        </w:tc>
        <w:tc>
          <w:tcPr>
            <w:tcW w:w="1984" w:type="dxa"/>
            <w:tcBorders>
              <w:top w:val="nil"/>
              <w:bottom w:val="nil"/>
            </w:tcBorders>
          </w:tcPr>
          <w:p>
            <w:pPr>
              <w:pStyle w:val="0"/>
            </w:pPr>
            <w:r>
              <w:rPr>
                <w:sz w:val="20"/>
              </w:rPr>
            </w:r>
          </w:p>
        </w:tc>
        <w:tc>
          <w:tcPr>
            <w:tcW w:w="2551" w:type="dxa"/>
          </w:tcPr>
          <w:p>
            <w:pPr>
              <w:pStyle w:val="0"/>
            </w:pPr>
            <w:r>
              <w:rPr>
                <w:sz w:val="20"/>
              </w:rPr>
              <w:t xml:space="preserve">Удельный вес обучающихся в организациях по образовательным программам начального общего, основного общего, среднего общего образования, подлежащих культурно-экскурсионному обслуживанию в каникулярный период за счет средств субсидий из областного бюджета бюджетам муниципальных образований на организацию отдыха детей в каникулярное время (к общему числу обучающихся 1 - 11 классов в организациях по образовательным программам начального общего, основного общего, среднего общего образования)</w:t>
            </w:r>
          </w:p>
        </w:tc>
        <w:tc>
          <w:tcPr>
            <w:tcW w:w="850" w:type="dxa"/>
          </w:tcPr>
          <w:p>
            <w:pPr>
              <w:pStyle w:val="0"/>
            </w:pPr>
            <w:r>
              <w:rPr>
                <w:sz w:val="20"/>
              </w:rPr>
              <w:t xml:space="preserve">%</w:t>
            </w:r>
          </w:p>
        </w:tc>
        <w:tc>
          <w:tcPr>
            <w:tcW w:w="851" w:type="dxa"/>
          </w:tcPr>
          <w:p>
            <w:pPr>
              <w:pStyle w:val="0"/>
              <w:jc w:val="center"/>
            </w:pPr>
            <w:r>
              <w:rPr>
                <w:sz w:val="20"/>
              </w:rPr>
              <w:t xml:space="preserve">30</w:t>
            </w:r>
          </w:p>
        </w:tc>
        <w:tc>
          <w:tcPr>
            <w:tcW w:w="849" w:type="dxa"/>
          </w:tcPr>
          <w:p>
            <w:pPr>
              <w:pStyle w:val="0"/>
              <w:jc w:val="center"/>
            </w:pPr>
            <w:r>
              <w:rPr>
                <w:sz w:val="20"/>
              </w:rPr>
              <w:t xml:space="preserve">30</w:t>
            </w:r>
          </w:p>
        </w:tc>
        <w:tc>
          <w:tcPr>
            <w:tcW w:w="849" w:type="dxa"/>
          </w:tcPr>
          <w:p>
            <w:pPr>
              <w:pStyle w:val="0"/>
              <w:jc w:val="center"/>
            </w:pPr>
            <w:r>
              <w:rPr>
                <w:sz w:val="20"/>
              </w:rPr>
              <w:t xml:space="preserve">30</w:t>
            </w:r>
          </w:p>
        </w:tc>
      </w:tr>
      <w:tr>
        <w:tc>
          <w:tcPr>
            <w:tcW w:w="567" w:type="dxa"/>
            <w:tcBorders>
              <w:top w:val="nil"/>
              <w:bottom w:val="nil"/>
            </w:tcBorders>
            <w:vMerge w:val="restart"/>
          </w:tcPr>
          <w:p>
            <w:pPr>
              <w:pStyle w:val="0"/>
            </w:pPr>
            <w:r>
              <w:rPr>
                <w:sz w:val="20"/>
              </w:rPr>
            </w:r>
          </w:p>
        </w:tc>
        <w:tc>
          <w:tcPr>
            <w:tcW w:w="2835" w:type="dxa"/>
            <w:tcBorders>
              <w:top w:val="nil"/>
              <w:bottom w:val="nil"/>
            </w:tcBorders>
            <w:vMerge w:val="restart"/>
          </w:tcPr>
          <w:p>
            <w:pPr>
              <w:pStyle w:val="0"/>
            </w:pPr>
            <w:r>
              <w:rPr>
                <w:sz w:val="20"/>
              </w:rPr>
            </w:r>
          </w:p>
        </w:tc>
        <w:tc>
          <w:tcPr>
            <w:tcW w:w="2268" w:type="dxa"/>
            <w:tcBorders>
              <w:top w:val="nil"/>
              <w:bottom w:val="nil"/>
            </w:tcBorders>
            <w:vMerge w:val="restart"/>
          </w:tcPr>
          <w:p>
            <w:pPr>
              <w:pStyle w:val="0"/>
            </w:pPr>
            <w:r>
              <w:rPr>
                <w:sz w:val="20"/>
              </w:rPr>
            </w:r>
          </w:p>
        </w:tc>
        <w:tc>
          <w:tcPr>
            <w:tcW w:w="1984" w:type="dxa"/>
            <w:tcBorders>
              <w:top w:val="nil"/>
              <w:bottom w:val="nil"/>
            </w:tcBorders>
            <w:vMerge w:val="restart"/>
          </w:tcPr>
          <w:p>
            <w:pPr>
              <w:pStyle w:val="0"/>
            </w:pPr>
            <w:r>
              <w:rPr>
                <w:sz w:val="20"/>
              </w:rPr>
            </w:r>
          </w:p>
        </w:tc>
        <w:tc>
          <w:tcPr>
            <w:tcW w:w="2551" w:type="dxa"/>
          </w:tcPr>
          <w:p>
            <w:pPr>
              <w:pStyle w:val="0"/>
            </w:pPr>
            <w:r>
              <w:rPr>
                <w:sz w:val="20"/>
              </w:rPr>
              <w:t xml:space="preserve">Отношение среднемесячной заработной платы педагогических работников муниципальных организаций дополнительного образования к средней заработной плате учителей во Владимирской области</w:t>
            </w:r>
          </w:p>
        </w:tc>
        <w:tc>
          <w:tcPr>
            <w:tcW w:w="850" w:type="dxa"/>
          </w:tcPr>
          <w:p>
            <w:pPr>
              <w:pStyle w:val="0"/>
            </w:pPr>
            <w:r>
              <w:rPr>
                <w:sz w:val="20"/>
              </w:rPr>
              <w:t xml:space="preserve">%</w:t>
            </w:r>
          </w:p>
        </w:tc>
        <w:tc>
          <w:tcPr>
            <w:tcW w:w="851" w:type="dxa"/>
          </w:tcPr>
          <w:p>
            <w:pPr>
              <w:pStyle w:val="0"/>
              <w:jc w:val="center"/>
            </w:pPr>
            <w:r>
              <w:rPr>
                <w:sz w:val="20"/>
              </w:rPr>
              <w:t xml:space="preserve">100</w:t>
            </w:r>
          </w:p>
        </w:tc>
        <w:tc>
          <w:tcPr>
            <w:tcW w:w="849" w:type="dxa"/>
          </w:tcPr>
          <w:p>
            <w:pPr>
              <w:pStyle w:val="0"/>
              <w:jc w:val="center"/>
            </w:pPr>
            <w:r>
              <w:rPr>
                <w:sz w:val="20"/>
              </w:rPr>
              <w:t xml:space="preserve">100</w:t>
            </w:r>
          </w:p>
        </w:tc>
        <w:tc>
          <w:tcPr>
            <w:tcW w:w="849" w:type="dxa"/>
          </w:tcPr>
          <w:p>
            <w:pPr>
              <w:pStyle w:val="0"/>
              <w:jc w:val="center"/>
            </w:pPr>
            <w:r>
              <w:rPr>
                <w:sz w:val="20"/>
              </w:rPr>
              <w:t xml:space="preserve">100</w:t>
            </w:r>
          </w:p>
        </w:tc>
      </w:tr>
      <w:tr>
        <w:tc>
          <w:tcPr>
            <w:tcBorders>
              <w:top w:val="nil"/>
              <w:bottom w:val="nil"/>
            </w:tcBorders>
            <w:vMerge w:val="continue"/>
          </w:tcPr>
          <w:p/>
        </w:tc>
        <w:tc>
          <w:tcPr>
            <w:tcBorders>
              <w:top w:val="nil"/>
              <w:bottom w:val="nil"/>
            </w:tcBorders>
            <w:vMerge w:val="continue"/>
          </w:tcPr>
          <w:p/>
        </w:tc>
        <w:tc>
          <w:tcPr>
            <w:tcBorders>
              <w:top w:val="nil"/>
              <w:bottom w:val="nil"/>
            </w:tcBorders>
            <w:vMerge w:val="continue"/>
          </w:tcPr>
          <w:p/>
        </w:tc>
        <w:tc>
          <w:tcPr>
            <w:tcBorders>
              <w:top w:val="nil"/>
              <w:bottom w:val="nil"/>
            </w:tcBorders>
            <w:vMerge w:val="continue"/>
          </w:tcPr>
          <w:p/>
        </w:tc>
        <w:tc>
          <w:tcPr>
            <w:tcW w:w="2551" w:type="dxa"/>
          </w:tcPr>
          <w:p>
            <w:pPr>
              <w:pStyle w:val="0"/>
            </w:pPr>
            <w:r>
              <w:rPr>
                <w:sz w:val="20"/>
              </w:rPr>
              <w:t xml:space="preserve">Количество школьных автобусов, приобретенных в году получения субсидии на мероприятия по приобретению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850" w:type="dxa"/>
          </w:tcPr>
          <w:p>
            <w:pPr>
              <w:pStyle w:val="0"/>
            </w:pPr>
            <w:r>
              <w:rPr>
                <w:sz w:val="20"/>
              </w:rPr>
              <w:t xml:space="preserve">ед.</w:t>
            </w:r>
          </w:p>
        </w:tc>
        <w:tc>
          <w:tcPr>
            <w:tcW w:w="851" w:type="dxa"/>
          </w:tcPr>
          <w:p>
            <w:pPr>
              <w:pStyle w:val="0"/>
              <w:jc w:val="center"/>
            </w:pPr>
            <w:r>
              <w:rPr>
                <w:sz w:val="20"/>
              </w:rPr>
              <w:t xml:space="preserve">10</w:t>
            </w:r>
          </w:p>
        </w:tc>
        <w:tc>
          <w:tcPr>
            <w:tcW w:w="849" w:type="dxa"/>
          </w:tcPr>
          <w:p>
            <w:pPr>
              <w:pStyle w:val="0"/>
              <w:jc w:val="center"/>
            </w:pPr>
            <w:r>
              <w:rPr>
                <w:sz w:val="20"/>
              </w:rPr>
              <w:t xml:space="preserve">10</w:t>
            </w:r>
          </w:p>
        </w:tc>
        <w:tc>
          <w:tcPr>
            <w:tcW w:w="849" w:type="dxa"/>
          </w:tcPr>
          <w:p>
            <w:pPr>
              <w:pStyle w:val="0"/>
              <w:jc w:val="center"/>
            </w:pPr>
            <w:r>
              <w:rPr>
                <w:sz w:val="20"/>
              </w:rPr>
              <w:t xml:space="preserve">10</w:t>
            </w:r>
          </w:p>
        </w:tc>
      </w:tr>
      <w:tr>
        <w:tc>
          <w:tcPr>
            <w:tcW w:w="567" w:type="dxa"/>
            <w:tcBorders>
              <w:top w:val="nil"/>
            </w:tcBorders>
            <w:vMerge w:val="restart"/>
          </w:tcPr>
          <w:p>
            <w:pPr>
              <w:pStyle w:val="0"/>
            </w:pPr>
            <w:r>
              <w:rPr>
                <w:sz w:val="20"/>
              </w:rPr>
            </w:r>
          </w:p>
        </w:tc>
        <w:tc>
          <w:tcPr>
            <w:tcW w:w="2835" w:type="dxa"/>
            <w:tcBorders>
              <w:top w:val="nil"/>
            </w:tcBorders>
            <w:vMerge w:val="restart"/>
          </w:tcPr>
          <w:p>
            <w:pPr>
              <w:pStyle w:val="0"/>
            </w:pPr>
            <w:r>
              <w:rPr>
                <w:sz w:val="20"/>
              </w:rPr>
            </w:r>
          </w:p>
        </w:tc>
        <w:tc>
          <w:tcPr>
            <w:tcW w:w="2268" w:type="dxa"/>
            <w:tcBorders>
              <w:top w:val="nil"/>
            </w:tcBorders>
            <w:vMerge w:val="restart"/>
          </w:tcPr>
          <w:p>
            <w:pPr>
              <w:pStyle w:val="0"/>
            </w:pPr>
            <w:r>
              <w:rPr>
                <w:sz w:val="20"/>
              </w:rPr>
            </w:r>
          </w:p>
        </w:tc>
        <w:tc>
          <w:tcPr>
            <w:tcW w:w="1984" w:type="dxa"/>
            <w:tcBorders>
              <w:top w:val="nil"/>
            </w:tcBorders>
            <w:vMerge w:val="restart"/>
          </w:tcPr>
          <w:p>
            <w:pPr>
              <w:pStyle w:val="0"/>
            </w:pPr>
            <w:r>
              <w:rPr>
                <w:sz w:val="20"/>
              </w:rPr>
            </w:r>
          </w:p>
        </w:tc>
        <w:tc>
          <w:tcPr>
            <w:tcW w:w="2551" w:type="dxa"/>
          </w:tcPr>
          <w:p>
            <w:pPr>
              <w:pStyle w:val="0"/>
            </w:pPr>
            <w:r>
              <w:rPr>
                <w:sz w:val="20"/>
              </w:rPr>
              <w:t xml:space="preserve">Количество муниципальных дошкольных образовательных организаций, в которых проведены мероприятия по подготовке к началу учебного года, нарастающий итог</w:t>
            </w:r>
          </w:p>
        </w:tc>
        <w:tc>
          <w:tcPr>
            <w:tcW w:w="850" w:type="dxa"/>
          </w:tcPr>
          <w:p>
            <w:pPr>
              <w:pStyle w:val="0"/>
            </w:pPr>
            <w:r>
              <w:rPr>
                <w:sz w:val="20"/>
              </w:rPr>
              <w:t xml:space="preserve">ед.</w:t>
            </w:r>
          </w:p>
        </w:tc>
        <w:tc>
          <w:tcPr>
            <w:tcW w:w="851" w:type="dxa"/>
          </w:tcPr>
          <w:p>
            <w:pPr>
              <w:pStyle w:val="0"/>
              <w:jc w:val="center"/>
            </w:pPr>
            <w:r>
              <w:rPr>
                <w:sz w:val="20"/>
              </w:rPr>
              <w:t xml:space="preserve">147</w:t>
            </w:r>
          </w:p>
        </w:tc>
        <w:tc>
          <w:tcPr>
            <w:tcW w:w="849" w:type="dxa"/>
          </w:tcPr>
          <w:p>
            <w:pPr>
              <w:pStyle w:val="0"/>
              <w:jc w:val="center"/>
            </w:pPr>
            <w:r>
              <w:rPr>
                <w:sz w:val="20"/>
              </w:rPr>
              <w:t xml:space="preserve">150</w:t>
            </w:r>
          </w:p>
        </w:tc>
        <w:tc>
          <w:tcPr>
            <w:tcW w:w="849" w:type="dxa"/>
          </w:tcPr>
          <w:p>
            <w:pPr>
              <w:pStyle w:val="0"/>
              <w:jc w:val="center"/>
            </w:pPr>
            <w:r>
              <w:rPr>
                <w:sz w:val="20"/>
              </w:rPr>
              <w:t xml:space="preserve">150</w:t>
            </w:r>
          </w:p>
        </w:tc>
      </w:tr>
      <w:tr>
        <w:tc>
          <w:tcPr>
            <w:tcBorders>
              <w:top w:val="nil"/>
            </w:tcBorders>
            <w:vMerge w:val="continue"/>
          </w:tcPr>
          <w:p/>
        </w:tc>
        <w:tc>
          <w:tcPr>
            <w:tcBorders>
              <w:top w:val="nil"/>
            </w:tcBorders>
            <w:vMerge w:val="continue"/>
          </w:tcPr>
          <w:p/>
        </w:tc>
        <w:tc>
          <w:tcPr>
            <w:tcBorders>
              <w:top w:val="nil"/>
            </w:tcBorders>
            <w:vMerge w:val="continue"/>
          </w:tcPr>
          <w:p/>
        </w:tc>
        <w:tc>
          <w:tcPr>
            <w:tcBorders>
              <w:top w:val="nil"/>
            </w:tcBorders>
            <w:vMerge w:val="continue"/>
          </w:tcPr>
          <w:p/>
        </w:tc>
        <w:tc>
          <w:tcPr>
            <w:tcW w:w="2551" w:type="dxa"/>
          </w:tcPr>
          <w:p>
            <w:pPr>
              <w:pStyle w:val="0"/>
            </w:pPr>
            <w:r>
              <w:rPr>
                <w:sz w:val="20"/>
              </w:rPr>
              <w:t xml:space="preserve">Количество муниципальных общеобразовательных организаций, в которых проведены мероприятия по подготовке к началу учебного года, нарастающий итог</w:t>
            </w:r>
          </w:p>
        </w:tc>
        <w:tc>
          <w:tcPr>
            <w:tcW w:w="850" w:type="dxa"/>
          </w:tcPr>
          <w:p>
            <w:pPr>
              <w:pStyle w:val="0"/>
            </w:pPr>
            <w:r>
              <w:rPr>
                <w:sz w:val="20"/>
              </w:rPr>
              <w:t xml:space="preserve">ед.</w:t>
            </w:r>
          </w:p>
        </w:tc>
        <w:tc>
          <w:tcPr>
            <w:tcW w:w="851" w:type="dxa"/>
          </w:tcPr>
          <w:p>
            <w:pPr>
              <w:pStyle w:val="0"/>
              <w:jc w:val="center"/>
            </w:pPr>
            <w:r>
              <w:rPr>
                <w:sz w:val="20"/>
              </w:rPr>
              <w:t xml:space="preserve">88</w:t>
            </w:r>
          </w:p>
        </w:tc>
        <w:tc>
          <w:tcPr>
            <w:tcW w:w="849" w:type="dxa"/>
          </w:tcPr>
          <w:p>
            <w:pPr>
              <w:pStyle w:val="0"/>
              <w:jc w:val="center"/>
            </w:pPr>
            <w:r>
              <w:rPr>
                <w:sz w:val="20"/>
              </w:rPr>
              <w:t xml:space="preserve">98</w:t>
            </w:r>
          </w:p>
        </w:tc>
        <w:tc>
          <w:tcPr>
            <w:tcW w:w="849" w:type="dxa"/>
          </w:tcPr>
          <w:p>
            <w:pPr>
              <w:pStyle w:val="0"/>
              <w:jc w:val="center"/>
            </w:pPr>
            <w:r>
              <w:rPr>
                <w:sz w:val="20"/>
              </w:rPr>
              <w:t xml:space="preserve">98</w:t>
            </w:r>
          </w:p>
        </w:tc>
      </w:tr>
      <w:tr>
        <w:tc>
          <w:tcPr>
            <w:tcBorders>
              <w:top w:val="nil"/>
            </w:tcBorders>
            <w:vMerge w:val="continue"/>
          </w:tcPr>
          <w:p/>
        </w:tc>
        <w:tc>
          <w:tcPr>
            <w:tcBorders>
              <w:top w:val="nil"/>
            </w:tcBorders>
            <w:vMerge w:val="continue"/>
          </w:tcPr>
          <w:p/>
        </w:tc>
        <w:tc>
          <w:tcPr>
            <w:tcBorders>
              <w:top w:val="nil"/>
            </w:tcBorders>
            <w:vMerge w:val="continue"/>
          </w:tcPr>
          <w:p/>
        </w:tc>
        <w:tc>
          <w:tcPr>
            <w:tcBorders>
              <w:top w:val="nil"/>
            </w:tcBorders>
            <w:vMerge w:val="continue"/>
          </w:tcPr>
          <w:p/>
        </w:tc>
        <w:tc>
          <w:tcPr>
            <w:tcW w:w="2551" w:type="dxa"/>
          </w:tcPr>
          <w:p>
            <w:pPr>
              <w:pStyle w:val="0"/>
            </w:pPr>
            <w:r>
              <w:rPr>
                <w:sz w:val="20"/>
              </w:rPr>
              <w:t xml:space="preserve">Количество муниципальных оздоровительных лагерей, в которых проведены мероприятия по подготовке к летнему периоду</w:t>
            </w:r>
          </w:p>
        </w:tc>
        <w:tc>
          <w:tcPr>
            <w:tcW w:w="850" w:type="dxa"/>
          </w:tcPr>
          <w:p>
            <w:pPr>
              <w:pStyle w:val="0"/>
            </w:pPr>
            <w:r>
              <w:rPr>
                <w:sz w:val="20"/>
              </w:rPr>
              <w:t xml:space="preserve">ед.</w:t>
            </w:r>
          </w:p>
        </w:tc>
        <w:tc>
          <w:tcPr>
            <w:tcW w:w="851" w:type="dxa"/>
          </w:tcPr>
          <w:p>
            <w:pPr>
              <w:pStyle w:val="0"/>
              <w:jc w:val="center"/>
            </w:pPr>
            <w:r>
              <w:rPr>
                <w:sz w:val="20"/>
              </w:rPr>
              <w:t xml:space="preserve">21</w:t>
            </w:r>
          </w:p>
        </w:tc>
        <w:tc>
          <w:tcPr>
            <w:tcW w:w="849" w:type="dxa"/>
          </w:tcPr>
          <w:p>
            <w:pPr>
              <w:pStyle w:val="0"/>
              <w:jc w:val="center"/>
            </w:pPr>
            <w:r>
              <w:rPr>
                <w:sz w:val="20"/>
              </w:rPr>
              <w:t xml:space="preserve">21</w:t>
            </w:r>
          </w:p>
        </w:tc>
        <w:tc>
          <w:tcPr>
            <w:tcW w:w="849" w:type="dxa"/>
          </w:tcPr>
          <w:p>
            <w:pPr>
              <w:pStyle w:val="0"/>
              <w:jc w:val="center"/>
            </w:pPr>
            <w:r>
              <w:rPr>
                <w:sz w:val="20"/>
              </w:rPr>
              <w:t xml:space="preserve">21</w:t>
            </w:r>
          </w:p>
        </w:tc>
      </w:tr>
      <w:tr>
        <w:tc>
          <w:tcPr>
            <w:tcW w:w="567" w:type="dxa"/>
          </w:tcPr>
          <w:p>
            <w:pPr>
              <w:pStyle w:val="0"/>
              <w:jc w:val="center"/>
            </w:pPr>
            <w:r>
              <w:rPr>
                <w:sz w:val="20"/>
              </w:rPr>
              <w:t xml:space="preserve">29.</w:t>
            </w:r>
          </w:p>
        </w:tc>
        <w:tc>
          <w:tcPr>
            <w:tcW w:w="2835"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2268"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Удельный вес детей и подростков, занимающихся в отрядах ЮИД (к общему числу детей от 10 до 16 лет)</w:t>
            </w:r>
          </w:p>
        </w:tc>
        <w:tc>
          <w:tcPr>
            <w:tcW w:w="850" w:type="dxa"/>
          </w:tcPr>
          <w:p>
            <w:pPr>
              <w:pStyle w:val="0"/>
            </w:pPr>
            <w:r>
              <w:rPr>
                <w:sz w:val="20"/>
              </w:rPr>
              <w:t xml:space="preserve">%</w:t>
            </w:r>
          </w:p>
        </w:tc>
        <w:tc>
          <w:tcPr>
            <w:tcW w:w="851" w:type="dxa"/>
          </w:tcPr>
          <w:p>
            <w:pPr>
              <w:pStyle w:val="0"/>
              <w:jc w:val="center"/>
            </w:pPr>
            <w:r>
              <w:rPr>
                <w:sz w:val="20"/>
              </w:rPr>
              <w:t xml:space="preserve">5,0</w:t>
            </w:r>
          </w:p>
        </w:tc>
        <w:tc>
          <w:tcPr>
            <w:tcW w:w="849" w:type="dxa"/>
          </w:tcPr>
          <w:p>
            <w:pPr>
              <w:pStyle w:val="0"/>
              <w:jc w:val="center"/>
            </w:pPr>
            <w:r>
              <w:rPr>
                <w:sz w:val="20"/>
              </w:rPr>
              <w:t xml:space="preserve">5,1</w:t>
            </w:r>
          </w:p>
        </w:tc>
        <w:tc>
          <w:tcPr>
            <w:tcW w:w="849" w:type="dxa"/>
          </w:tcPr>
          <w:p>
            <w:pPr>
              <w:pStyle w:val="0"/>
              <w:jc w:val="center"/>
            </w:pPr>
            <w:r>
              <w:rPr>
                <w:sz w:val="20"/>
              </w:rPr>
              <w:t xml:space="preserve">5,2</w:t>
            </w:r>
          </w:p>
        </w:tc>
      </w:tr>
      <w:tr>
        <w:tc>
          <w:tcPr>
            <w:tcW w:w="567" w:type="dxa"/>
          </w:tcPr>
          <w:p>
            <w:pPr>
              <w:pStyle w:val="0"/>
              <w:jc w:val="center"/>
            </w:pPr>
            <w:r>
              <w:rPr>
                <w:sz w:val="20"/>
              </w:rPr>
              <w:t xml:space="preserve">30.</w:t>
            </w:r>
          </w:p>
        </w:tc>
        <w:tc>
          <w:tcPr>
            <w:tcW w:w="2835"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В общеобразовательных организациях, расположенных в сельской местности и малых городах, обновлена материально-техническая база для занятий детей физкультурой и спортом</w:t>
            </w:r>
          </w:p>
        </w:tc>
        <w:tc>
          <w:tcPr>
            <w:tcW w:w="850" w:type="dxa"/>
          </w:tcPr>
          <w:p>
            <w:pPr>
              <w:pStyle w:val="0"/>
            </w:pPr>
            <w:r>
              <w:rPr>
                <w:sz w:val="20"/>
              </w:rPr>
              <w:t xml:space="preserve">ед.</w:t>
            </w:r>
          </w:p>
        </w:tc>
        <w:tc>
          <w:tcPr>
            <w:tcW w:w="851" w:type="dxa"/>
          </w:tcPr>
          <w:p>
            <w:pPr>
              <w:pStyle w:val="0"/>
              <w:jc w:val="center"/>
            </w:pPr>
            <w:r>
              <w:rPr>
                <w:sz w:val="20"/>
              </w:rPr>
              <w:t xml:space="preserve">14</w:t>
            </w:r>
          </w:p>
        </w:tc>
        <w:tc>
          <w:tcPr>
            <w:tcW w:w="849" w:type="dxa"/>
          </w:tcPr>
          <w:p>
            <w:pPr>
              <w:pStyle w:val="0"/>
              <w:jc w:val="center"/>
            </w:pPr>
            <w:r>
              <w:rPr>
                <w:sz w:val="20"/>
              </w:rPr>
              <w:t xml:space="preserve">13</w:t>
            </w:r>
          </w:p>
        </w:tc>
        <w:tc>
          <w:tcPr>
            <w:tcW w:w="849" w:type="dxa"/>
          </w:tcPr>
          <w:p>
            <w:pPr>
              <w:pStyle w:val="0"/>
              <w:jc w:val="center"/>
            </w:pPr>
            <w:r>
              <w:rPr>
                <w:sz w:val="20"/>
              </w:rPr>
              <w:t xml:space="preserve">13</w:t>
            </w:r>
          </w:p>
        </w:tc>
      </w:tr>
      <w:tr>
        <w:tc>
          <w:tcPr>
            <w:tcW w:w="567" w:type="dxa"/>
          </w:tcPr>
          <w:p>
            <w:pPr>
              <w:pStyle w:val="0"/>
              <w:jc w:val="center"/>
            </w:pPr>
            <w:r>
              <w:rPr>
                <w:sz w:val="20"/>
              </w:rPr>
              <w:t xml:space="preserve">31.</w:t>
            </w:r>
          </w:p>
        </w:tc>
        <w:tc>
          <w:tcPr>
            <w:tcW w:w="2835"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В общеобразовательных организациях, расположенных в сельской местности и малых городах, созданы и функционируют центры образования естественно-научной и технологической направленностей</w:t>
            </w:r>
          </w:p>
        </w:tc>
        <w:tc>
          <w:tcPr>
            <w:tcW w:w="850" w:type="dxa"/>
          </w:tcPr>
          <w:p>
            <w:pPr>
              <w:pStyle w:val="0"/>
            </w:pPr>
            <w:r>
              <w:rPr>
                <w:sz w:val="20"/>
              </w:rPr>
              <w:t xml:space="preserve">ед.</w:t>
            </w:r>
          </w:p>
        </w:tc>
        <w:tc>
          <w:tcPr>
            <w:tcW w:w="851" w:type="dxa"/>
          </w:tcPr>
          <w:p>
            <w:pPr>
              <w:pStyle w:val="0"/>
              <w:jc w:val="center"/>
            </w:pPr>
            <w:r>
              <w:rPr>
                <w:sz w:val="20"/>
              </w:rPr>
              <w:t xml:space="preserve">31</w:t>
            </w:r>
          </w:p>
        </w:tc>
        <w:tc>
          <w:tcPr>
            <w:tcW w:w="849" w:type="dxa"/>
          </w:tcPr>
          <w:p>
            <w:pPr>
              <w:pStyle w:val="0"/>
              <w:jc w:val="center"/>
            </w:pPr>
            <w:r>
              <w:rPr>
                <w:sz w:val="20"/>
              </w:rPr>
              <w:t xml:space="preserve">23</w:t>
            </w:r>
          </w:p>
        </w:tc>
        <w:tc>
          <w:tcPr>
            <w:tcW w:w="849" w:type="dxa"/>
          </w:tcPr>
          <w:p>
            <w:pPr>
              <w:pStyle w:val="0"/>
              <w:jc w:val="center"/>
            </w:pPr>
            <w:r>
              <w:rPr>
                <w:sz w:val="20"/>
              </w:rPr>
              <w:t xml:space="preserve">23</w:t>
            </w:r>
          </w:p>
        </w:tc>
      </w:tr>
      <w:tr>
        <w:tc>
          <w:tcPr>
            <w:tcW w:w="567" w:type="dxa"/>
          </w:tcPr>
          <w:p>
            <w:pPr>
              <w:pStyle w:val="0"/>
              <w:jc w:val="center"/>
            </w:pPr>
            <w:r>
              <w:rPr>
                <w:sz w:val="20"/>
              </w:rPr>
              <w:t xml:space="preserve">32.</w:t>
            </w:r>
          </w:p>
        </w:tc>
        <w:tc>
          <w:tcPr>
            <w:tcW w:w="2835" w:type="dxa"/>
          </w:tcPr>
          <w:p>
            <w:pPr>
              <w:pStyle w:val="0"/>
            </w:pPr>
            <w:r>
              <w:rPr>
                <w:sz w:val="20"/>
              </w:rPr>
              <w:t xml:space="preserve">Субсидии на создание детских технопарков "Кванториум"</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На базе общеобразовательных организаций созданы и функционируют детские технопарки "Кванториум"</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2</w:t>
            </w:r>
          </w:p>
        </w:tc>
        <w:tc>
          <w:tcPr>
            <w:tcW w:w="849" w:type="dxa"/>
          </w:tcPr>
          <w:p>
            <w:pPr>
              <w:pStyle w:val="0"/>
              <w:jc w:val="center"/>
            </w:pPr>
            <w:r>
              <w:rPr>
                <w:sz w:val="20"/>
              </w:rPr>
              <w:t xml:space="preserve">2</w:t>
            </w:r>
          </w:p>
        </w:tc>
      </w:tr>
      <w:tr>
        <w:tc>
          <w:tcPr>
            <w:tcW w:w="567" w:type="dxa"/>
          </w:tcPr>
          <w:p>
            <w:pPr>
              <w:pStyle w:val="0"/>
              <w:jc w:val="center"/>
            </w:pPr>
            <w:r>
              <w:rPr>
                <w:sz w:val="20"/>
              </w:rPr>
              <w:t xml:space="preserve">33.</w:t>
            </w:r>
          </w:p>
        </w:tc>
        <w:tc>
          <w:tcPr>
            <w:tcW w:w="2835"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Образовательные организации обеспечены материально-технической базой для внедрения цифровой образовательной среды</w:t>
            </w:r>
          </w:p>
        </w:tc>
        <w:tc>
          <w:tcPr>
            <w:tcW w:w="850" w:type="dxa"/>
          </w:tcPr>
          <w:p>
            <w:pPr>
              <w:pStyle w:val="0"/>
            </w:pPr>
            <w:r>
              <w:rPr>
                <w:sz w:val="20"/>
              </w:rPr>
              <w:t xml:space="preserve">ед.</w:t>
            </w:r>
          </w:p>
        </w:tc>
        <w:tc>
          <w:tcPr>
            <w:tcW w:w="851" w:type="dxa"/>
          </w:tcPr>
          <w:p>
            <w:pPr>
              <w:pStyle w:val="0"/>
              <w:jc w:val="center"/>
            </w:pPr>
            <w:r>
              <w:rPr>
                <w:sz w:val="20"/>
              </w:rPr>
              <w:t xml:space="preserve">71</w:t>
            </w:r>
          </w:p>
        </w:tc>
        <w:tc>
          <w:tcPr>
            <w:tcW w:w="849" w:type="dxa"/>
          </w:tcPr>
          <w:p>
            <w:pPr>
              <w:pStyle w:val="0"/>
              <w:jc w:val="center"/>
            </w:pPr>
            <w:r>
              <w:rPr>
                <w:sz w:val="20"/>
              </w:rPr>
              <w:t xml:space="preserve">47</w:t>
            </w:r>
          </w:p>
        </w:tc>
        <w:tc>
          <w:tcPr>
            <w:tcW w:w="849" w:type="dxa"/>
          </w:tcPr>
          <w:p>
            <w:pPr>
              <w:pStyle w:val="0"/>
              <w:jc w:val="center"/>
            </w:pPr>
            <w:r>
              <w:rPr>
                <w:sz w:val="20"/>
              </w:rPr>
              <w:t xml:space="preserve">47</w:t>
            </w:r>
          </w:p>
        </w:tc>
      </w:tr>
      <w:tr>
        <w:tc>
          <w:tcPr>
            <w:tcW w:w="567" w:type="dxa"/>
          </w:tcPr>
          <w:p>
            <w:pPr>
              <w:pStyle w:val="0"/>
              <w:jc w:val="center"/>
            </w:pPr>
            <w:r>
              <w:rPr>
                <w:sz w:val="20"/>
              </w:rPr>
              <w:t xml:space="preserve">34.</w:t>
            </w:r>
          </w:p>
        </w:tc>
        <w:tc>
          <w:tcPr>
            <w:tcW w:w="2835" w:type="dxa"/>
          </w:tcPr>
          <w:p>
            <w:pPr>
              <w:pStyle w:val="0"/>
            </w:pPr>
            <w:r>
              <w:rPr>
                <w:sz w:val="20"/>
              </w:rPr>
              <w:t xml:space="preserve">Субсидии на капитальные вложения в объекты образования муниципальной собственности</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Количество новых мест в общеобразовательных организациях муниципальных образований</w:t>
            </w:r>
          </w:p>
        </w:tc>
        <w:tc>
          <w:tcPr>
            <w:tcW w:w="850" w:type="dxa"/>
          </w:tcPr>
          <w:p>
            <w:pPr>
              <w:pStyle w:val="0"/>
            </w:pPr>
            <w:r>
              <w:rPr>
                <w:sz w:val="20"/>
              </w:rPr>
              <w:t xml:space="preserve">ед.</w:t>
            </w:r>
          </w:p>
        </w:tc>
        <w:tc>
          <w:tcPr>
            <w:tcW w:w="851" w:type="dxa"/>
          </w:tcPr>
          <w:p>
            <w:pPr>
              <w:pStyle w:val="0"/>
              <w:jc w:val="center"/>
            </w:pPr>
            <w:r>
              <w:rPr>
                <w:sz w:val="20"/>
              </w:rPr>
              <w:t xml:space="preserve">3290</w:t>
            </w:r>
          </w:p>
        </w:tc>
        <w:tc>
          <w:tcPr>
            <w:tcW w:w="849" w:type="dxa"/>
          </w:tcPr>
          <w:p>
            <w:pPr>
              <w:pStyle w:val="0"/>
              <w:jc w:val="center"/>
            </w:pPr>
            <w:r>
              <w:rPr>
                <w:sz w:val="20"/>
              </w:rPr>
              <w:t xml:space="preserve">3350</w:t>
            </w:r>
          </w:p>
        </w:tc>
        <w:tc>
          <w:tcPr>
            <w:tcW w:w="849" w:type="dxa"/>
          </w:tcPr>
          <w:p>
            <w:pPr>
              <w:pStyle w:val="0"/>
              <w:jc w:val="center"/>
            </w:pPr>
            <w:r>
              <w:rPr>
                <w:sz w:val="20"/>
              </w:rPr>
              <w:t xml:space="preserve">1650</w:t>
            </w:r>
          </w:p>
        </w:tc>
      </w:tr>
      <w:tr>
        <w:tc>
          <w:tcPr>
            <w:tcW w:w="567" w:type="dxa"/>
            <w:vMerge w:val="restart"/>
          </w:tcPr>
          <w:p>
            <w:pPr>
              <w:pStyle w:val="0"/>
              <w:jc w:val="center"/>
            </w:pPr>
            <w:r>
              <w:rPr>
                <w:sz w:val="20"/>
              </w:rPr>
              <w:t xml:space="preserve">35.</w:t>
            </w:r>
          </w:p>
        </w:tc>
        <w:tc>
          <w:tcPr>
            <w:tcW w:w="2835" w:type="dxa"/>
            <w:vMerge w:val="restart"/>
          </w:tcPr>
          <w:p>
            <w:pPr>
              <w:pStyle w:val="0"/>
            </w:pPr>
            <w:r>
              <w:rPr>
                <w:sz w:val="20"/>
              </w:rPr>
              <w:t xml:space="preserve">Субсидии на создание новых мест в общеобразовательных организациях</w:t>
            </w:r>
          </w:p>
        </w:tc>
        <w:tc>
          <w:tcPr>
            <w:tcW w:w="2268" w:type="dxa"/>
            <w:vMerge w:val="restart"/>
          </w:tcPr>
          <w:p>
            <w:pPr>
              <w:pStyle w:val="0"/>
            </w:pPr>
            <w:r>
              <w:rPr>
                <w:sz w:val="20"/>
              </w:rPr>
              <w:t xml:space="preserve">Государственная программа Владимирской области "Развитие образования"</w:t>
            </w:r>
          </w:p>
        </w:tc>
        <w:tc>
          <w:tcPr>
            <w:tcW w:w="1984" w:type="dxa"/>
            <w:vMerge w:val="restart"/>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w:t>
            </w:r>
          </w:p>
        </w:tc>
        <w:tc>
          <w:tcPr>
            <w:tcW w:w="850" w:type="dxa"/>
          </w:tcPr>
          <w:p>
            <w:pPr>
              <w:pStyle w:val="0"/>
            </w:pPr>
            <w:r>
              <w:rPr>
                <w:sz w:val="20"/>
              </w:rPr>
              <w:t xml:space="preserve">ед.</w:t>
            </w:r>
          </w:p>
        </w:tc>
        <w:tc>
          <w:tcPr>
            <w:tcW w:w="851" w:type="dxa"/>
          </w:tcPr>
          <w:p>
            <w:pPr>
              <w:pStyle w:val="0"/>
              <w:jc w:val="center"/>
            </w:pPr>
            <w:r>
              <w:rPr>
                <w:sz w:val="20"/>
              </w:rPr>
              <w:t xml:space="preserve">1100</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новых мест в общеобразовательных организациях муниципальных образований</w:t>
            </w:r>
          </w:p>
        </w:tc>
        <w:tc>
          <w:tcPr>
            <w:tcW w:w="850" w:type="dxa"/>
          </w:tcPr>
          <w:p>
            <w:pPr>
              <w:pStyle w:val="0"/>
            </w:pPr>
            <w:r>
              <w:rPr>
                <w:sz w:val="20"/>
              </w:rPr>
              <w:t xml:space="preserve">ед.</w:t>
            </w:r>
          </w:p>
        </w:tc>
        <w:tc>
          <w:tcPr>
            <w:tcW w:w="851" w:type="dxa"/>
          </w:tcPr>
          <w:p>
            <w:pPr>
              <w:pStyle w:val="0"/>
              <w:jc w:val="center"/>
            </w:pPr>
            <w:r>
              <w:rPr>
                <w:sz w:val="20"/>
              </w:rPr>
              <w:t xml:space="preserve">3290</w:t>
            </w:r>
          </w:p>
        </w:tc>
        <w:tc>
          <w:tcPr>
            <w:tcW w:w="849" w:type="dxa"/>
          </w:tcPr>
          <w:p>
            <w:pPr>
              <w:pStyle w:val="0"/>
              <w:jc w:val="center"/>
            </w:pPr>
            <w:r>
              <w:rPr>
                <w:sz w:val="20"/>
              </w:rPr>
              <w:t xml:space="preserve">3350</w:t>
            </w:r>
          </w:p>
        </w:tc>
        <w:tc>
          <w:tcPr>
            <w:tcW w:w="849" w:type="dxa"/>
          </w:tcPr>
          <w:p>
            <w:pPr>
              <w:pStyle w:val="0"/>
              <w:jc w:val="center"/>
            </w:pPr>
            <w:r>
              <w:rPr>
                <w:sz w:val="20"/>
              </w:rPr>
              <w:t xml:space="preserve">1650</w:t>
            </w:r>
          </w:p>
        </w:tc>
      </w:tr>
      <w:tr>
        <w:tc>
          <w:tcPr>
            <w:tcW w:w="567" w:type="dxa"/>
          </w:tcPr>
          <w:p>
            <w:pPr>
              <w:pStyle w:val="0"/>
              <w:jc w:val="center"/>
            </w:pPr>
            <w:r>
              <w:rPr>
                <w:sz w:val="20"/>
              </w:rPr>
              <w:t xml:space="preserve">36.</w:t>
            </w:r>
          </w:p>
        </w:tc>
        <w:tc>
          <w:tcPr>
            <w:tcW w:w="2835" w:type="dxa"/>
          </w:tcPr>
          <w:p>
            <w:pPr>
              <w:pStyle w:val="0"/>
            </w:pPr>
            <w:r>
              <w:rPr>
                <w:sz w:val="20"/>
              </w:rPr>
              <w:t xml:space="preserve">Субсидии на создание новых мест в общеобразовательных организациях, расположенных в сельской местности и поселках городского типа</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мероприятий региональных программ (региональных проектов), софинансируемых из федерального бюджета</w:t>
            </w:r>
          </w:p>
        </w:tc>
        <w:tc>
          <w:tcPr>
            <w:tcW w:w="850" w:type="dxa"/>
          </w:tcPr>
          <w:p>
            <w:pPr>
              <w:pStyle w:val="0"/>
            </w:pPr>
            <w:r>
              <w:rPr>
                <w:sz w:val="20"/>
              </w:rPr>
              <w:t xml:space="preserve">ед.</w:t>
            </w:r>
          </w:p>
        </w:tc>
        <w:tc>
          <w:tcPr>
            <w:tcW w:w="851" w:type="dxa"/>
          </w:tcPr>
          <w:p>
            <w:pPr>
              <w:pStyle w:val="0"/>
              <w:jc w:val="center"/>
            </w:pPr>
            <w:r>
              <w:rPr>
                <w:sz w:val="20"/>
              </w:rPr>
              <w:t xml:space="preserve">240</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tcPr>
          <w:p>
            <w:pPr>
              <w:pStyle w:val="0"/>
              <w:jc w:val="center"/>
            </w:pPr>
            <w:r>
              <w:rPr>
                <w:sz w:val="20"/>
              </w:rPr>
              <w:t xml:space="preserve">37.</w:t>
            </w:r>
          </w:p>
        </w:tc>
        <w:tc>
          <w:tcPr>
            <w:tcW w:w="2835"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2268"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Доля муниципальных образовательных организаций, в которых созданы условия для получения детьми-инвалидами качественного образования, в общем количестве муниципальных образовательных организаций в муниципальном образовании</w:t>
            </w:r>
          </w:p>
        </w:tc>
        <w:tc>
          <w:tcPr>
            <w:tcW w:w="850" w:type="dxa"/>
          </w:tcPr>
          <w:p>
            <w:pPr>
              <w:pStyle w:val="0"/>
            </w:pPr>
            <w:r>
              <w:rPr>
                <w:sz w:val="20"/>
              </w:rPr>
              <w:t xml:space="preserve">%</w:t>
            </w:r>
          </w:p>
        </w:tc>
        <w:tc>
          <w:tcPr>
            <w:tcW w:w="851" w:type="dxa"/>
          </w:tcPr>
          <w:p>
            <w:pPr>
              <w:pStyle w:val="0"/>
              <w:jc w:val="center"/>
            </w:pPr>
            <w:r>
              <w:rPr>
                <w:sz w:val="20"/>
              </w:rPr>
              <w:t xml:space="preserve">26,7</w:t>
            </w:r>
          </w:p>
        </w:tc>
        <w:tc>
          <w:tcPr>
            <w:tcW w:w="849" w:type="dxa"/>
          </w:tcPr>
          <w:p>
            <w:pPr>
              <w:pStyle w:val="0"/>
              <w:jc w:val="center"/>
            </w:pPr>
            <w:r>
              <w:rPr>
                <w:sz w:val="20"/>
              </w:rPr>
              <w:t xml:space="preserve">27,5</w:t>
            </w:r>
          </w:p>
        </w:tc>
        <w:tc>
          <w:tcPr>
            <w:tcW w:w="849" w:type="dxa"/>
          </w:tcPr>
          <w:p>
            <w:pPr>
              <w:pStyle w:val="0"/>
              <w:jc w:val="center"/>
            </w:pPr>
            <w:r>
              <w:rPr>
                <w:sz w:val="20"/>
              </w:rPr>
              <w:t xml:space="preserve">28</w:t>
            </w:r>
          </w:p>
        </w:tc>
      </w:tr>
      <w:tr>
        <w:tc>
          <w:tcPr>
            <w:tcW w:w="567" w:type="dxa"/>
          </w:tcPr>
          <w:p>
            <w:pPr>
              <w:pStyle w:val="0"/>
              <w:jc w:val="center"/>
            </w:pPr>
            <w:r>
              <w:rPr>
                <w:sz w:val="20"/>
              </w:rPr>
              <w:t xml:space="preserve">38.</w:t>
            </w:r>
          </w:p>
        </w:tc>
        <w:tc>
          <w:tcPr>
            <w:tcW w:w="2835"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2268"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Сокращение общего количества зарегистрированных преступлений и недопущение роста преступности (по отношению к 2021 году)</w:t>
            </w:r>
          </w:p>
        </w:tc>
        <w:tc>
          <w:tcPr>
            <w:tcW w:w="850" w:type="dxa"/>
          </w:tcPr>
          <w:p>
            <w:pPr>
              <w:pStyle w:val="0"/>
            </w:pPr>
            <w:r>
              <w:rPr>
                <w:sz w:val="20"/>
              </w:rPr>
              <w:t xml:space="preserve">%</w:t>
            </w:r>
          </w:p>
        </w:tc>
        <w:tc>
          <w:tcPr>
            <w:tcW w:w="851" w:type="dxa"/>
          </w:tcPr>
          <w:p>
            <w:pPr>
              <w:pStyle w:val="0"/>
              <w:jc w:val="center"/>
            </w:pPr>
            <w:r>
              <w:rPr>
                <w:sz w:val="20"/>
              </w:rPr>
              <w:t xml:space="preserve">99</w:t>
            </w:r>
          </w:p>
        </w:tc>
        <w:tc>
          <w:tcPr>
            <w:tcW w:w="849" w:type="dxa"/>
          </w:tcPr>
          <w:p>
            <w:pPr>
              <w:pStyle w:val="0"/>
              <w:jc w:val="center"/>
            </w:pPr>
            <w:r>
              <w:rPr>
                <w:sz w:val="20"/>
              </w:rPr>
              <w:t xml:space="preserve">98</w:t>
            </w:r>
          </w:p>
        </w:tc>
        <w:tc>
          <w:tcPr>
            <w:tcW w:w="849" w:type="dxa"/>
          </w:tcPr>
          <w:p>
            <w:pPr>
              <w:pStyle w:val="0"/>
              <w:jc w:val="center"/>
            </w:pPr>
            <w:r>
              <w:rPr>
                <w:sz w:val="20"/>
              </w:rPr>
              <w:t xml:space="preserve">98</w:t>
            </w:r>
          </w:p>
        </w:tc>
      </w:tr>
      <w:tr>
        <w:tc>
          <w:tcPr>
            <w:tcW w:w="567" w:type="dxa"/>
          </w:tcPr>
          <w:p>
            <w:pPr>
              <w:pStyle w:val="0"/>
              <w:jc w:val="center"/>
            </w:pPr>
            <w:r>
              <w:rPr>
                <w:sz w:val="20"/>
              </w:rPr>
              <w:t xml:space="preserve">39.</w:t>
            </w:r>
          </w:p>
        </w:tc>
        <w:tc>
          <w:tcPr>
            <w:tcW w:w="2835"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2268"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Количество созданных и дооборудованных кабинетов наркопрофилактики в образовательных организациях</w:t>
            </w:r>
          </w:p>
        </w:tc>
        <w:tc>
          <w:tcPr>
            <w:tcW w:w="850" w:type="dxa"/>
          </w:tcPr>
          <w:p>
            <w:pPr>
              <w:pStyle w:val="0"/>
            </w:pPr>
            <w:r>
              <w:rPr>
                <w:sz w:val="20"/>
              </w:rPr>
              <w:t xml:space="preserve">ед.</w:t>
            </w:r>
          </w:p>
        </w:tc>
        <w:tc>
          <w:tcPr>
            <w:tcW w:w="851" w:type="dxa"/>
          </w:tcPr>
          <w:p>
            <w:pPr>
              <w:pStyle w:val="0"/>
              <w:jc w:val="center"/>
            </w:pPr>
            <w:r>
              <w:rPr>
                <w:sz w:val="20"/>
              </w:rPr>
              <w:t xml:space="preserve">3</w:t>
            </w:r>
          </w:p>
        </w:tc>
        <w:tc>
          <w:tcPr>
            <w:tcW w:w="849" w:type="dxa"/>
          </w:tcPr>
          <w:p>
            <w:pPr>
              <w:pStyle w:val="0"/>
              <w:jc w:val="center"/>
            </w:pPr>
            <w:r>
              <w:rPr>
                <w:sz w:val="20"/>
              </w:rPr>
              <w:t xml:space="preserve">3</w:t>
            </w:r>
          </w:p>
        </w:tc>
        <w:tc>
          <w:tcPr>
            <w:tcW w:w="849" w:type="dxa"/>
          </w:tcPr>
          <w:p>
            <w:pPr>
              <w:pStyle w:val="0"/>
              <w:jc w:val="center"/>
            </w:pPr>
            <w:r>
              <w:rPr>
                <w:sz w:val="20"/>
              </w:rPr>
              <w:t xml:space="preserve">3</w:t>
            </w:r>
          </w:p>
        </w:tc>
      </w:tr>
      <w:tr>
        <w:tc>
          <w:tcPr>
            <w:tcW w:w="567" w:type="dxa"/>
          </w:tcPr>
          <w:p>
            <w:pPr>
              <w:pStyle w:val="0"/>
              <w:jc w:val="center"/>
            </w:pPr>
            <w:r>
              <w:rPr>
                <w:sz w:val="20"/>
              </w:rPr>
              <w:t xml:space="preserve">40.</w:t>
            </w:r>
          </w:p>
        </w:tc>
        <w:tc>
          <w:tcPr>
            <w:tcW w:w="2835"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2268" w:type="dxa"/>
          </w:tcPr>
          <w:p>
            <w:pPr>
              <w:pStyle w:val="0"/>
            </w:pPr>
            <w:r>
              <w:rPr>
                <w:sz w:val="20"/>
              </w:rPr>
              <w:t xml:space="preserve">Государственная программа Владимирской области "Развитие образования"</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образовательных организациях</w:t>
            </w:r>
          </w:p>
        </w:tc>
        <w:tc>
          <w:tcPr>
            <w:tcW w:w="850" w:type="dxa"/>
          </w:tcPr>
          <w:p>
            <w:pPr>
              <w:pStyle w:val="0"/>
            </w:pPr>
            <w:r>
              <w:rPr>
                <w:sz w:val="20"/>
              </w:rPr>
              <w:t xml:space="preserve">%</w:t>
            </w:r>
          </w:p>
        </w:tc>
        <w:tc>
          <w:tcPr>
            <w:tcW w:w="851" w:type="dxa"/>
          </w:tcPr>
          <w:p>
            <w:pPr>
              <w:pStyle w:val="0"/>
              <w:jc w:val="center"/>
            </w:pPr>
            <w:r>
              <w:rPr>
                <w:sz w:val="20"/>
              </w:rPr>
              <w:t xml:space="preserve">100</w:t>
            </w:r>
          </w:p>
        </w:tc>
        <w:tc>
          <w:tcPr>
            <w:tcW w:w="849" w:type="dxa"/>
          </w:tcPr>
          <w:p>
            <w:pPr>
              <w:pStyle w:val="0"/>
              <w:jc w:val="center"/>
            </w:pPr>
            <w:r>
              <w:rPr>
                <w:sz w:val="20"/>
              </w:rPr>
              <w:t xml:space="preserve">100</w:t>
            </w:r>
          </w:p>
        </w:tc>
        <w:tc>
          <w:tcPr>
            <w:tcW w:w="849" w:type="dxa"/>
          </w:tcPr>
          <w:p>
            <w:pPr>
              <w:pStyle w:val="0"/>
              <w:jc w:val="center"/>
            </w:pPr>
            <w:r>
              <w:rPr>
                <w:sz w:val="20"/>
              </w:rPr>
              <w:t xml:space="preserve">100</w:t>
            </w:r>
          </w:p>
        </w:tc>
      </w:tr>
      <w:tr>
        <w:tc>
          <w:tcPr>
            <w:tcW w:w="567" w:type="dxa"/>
          </w:tcPr>
          <w:p>
            <w:pPr>
              <w:pStyle w:val="0"/>
              <w:jc w:val="center"/>
            </w:pPr>
            <w:r>
              <w:rPr>
                <w:sz w:val="20"/>
              </w:rPr>
              <w:t xml:space="preserve">41.</w:t>
            </w:r>
          </w:p>
        </w:tc>
        <w:tc>
          <w:tcPr>
            <w:tcW w:w="2835" w:type="dxa"/>
          </w:tcPr>
          <w:p>
            <w:pPr>
              <w:pStyle w:val="0"/>
            </w:pPr>
            <w:r>
              <w:rPr>
                <w:sz w:val="20"/>
              </w:rPr>
              <w:t xml:space="preserve">Организация и проведение культурно-массовых мероприятий</w:t>
            </w:r>
          </w:p>
        </w:tc>
        <w:tc>
          <w:tcPr>
            <w:tcW w:w="2268"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Отсутствие кредиторской задолженности муниципального образования по расходам, осуществляемым за счет иного межбюджетного трансферта из областного бюджета</w:t>
            </w:r>
          </w:p>
        </w:tc>
        <w:tc>
          <w:tcPr>
            <w:tcW w:w="850" w:type="dxa"/>
          </w:tcPr>
          <w:p>
            <w:pPr>
              <w:pStyle w:val="0"/>
            </w:pPr>
            <w:r>
              <w:rPr>
                <w:sz w:val="20"/>
              </w:rPr>
              <w:t xml:space="preserve">%</w:t>
            </w:r>
          </w:p>
        </w:tc>
        <w:tc>
          <w:tcPr>
            <w:tcW w:w="851" w:type="dxa"/>
          </w:tcPr>
          <w:p>
            <w:pPr>
              <w:pStyle w:val="0"/>
              <w:jc w:val="center"/>
            </w:pPr>
            <w:r>
              <w:rPr>
                <w:sz w:val="20"/>
              </w:rPr>
              <w:t xml:space="preserve">100</w:t>
            </w:r>
          </w:p>
        </w:tc>
        <w:tc>
          <w:tcPr>
            <w:tcW w:w="849" w:type="dxa"/>
          </w:tcPr>
          <w:p>
            <w:pPr>
              <w:pStyle w:val="0"/>
              <w:jc w:val="center"/>
            </w:pPr>
            <w:r>
              <w:rPr>
                <w:sz w:val="20"/>
              </w:rPr>
              <w:t xml:space="preserve">100</w:t>
            </w:r>
          </w:p>
        </w:tc>
        <w:tc>
          <w:tcPr>
            <w:tcW w:w="849" w:type="dxa"/>
          </w:tcPr>
          <w:p>
            <w:pPr>
              <w:pStyle w:val="0"/>
              <w:jc w:val="center"/>
            </w:pPr>
            <w:r>
              <w:rPr>
                <w:sz w:val="20"/>
              </w:rPr>
              <w:t xml:space="preserve">100</w:t>
            </w:r>
          </w:p>
        </w:tc>
      </w:tr>
      <w:tr>
        <w:tc>
          <w:tcPr>
            <w:tcW w:w="567" w:type="dxa"/>
          </w:tcPr>
          <w:p>
            <w:pPr>
              <w:pStyle w:val="0"/>
              <w:jc w:val="center"/>
            </w:pPr>
            <w:r>
              <w:rPr>
                <w:sz w:val="20"/>
              </w:rPr>
              <w:t xml:space="preserve">42.</w:t>
            </w:r>
          </w:p>
        </w:tc>
        <w:tc>
          <w:tcPr>
            <w:tcW w:w="2835" w:type="dxa"/>
          </w:tcPr>
          <w:p>
            <w:pPr>
              <w:pStyle w:val="0"/>
            </w:pPr>
            <w:r>
              <w:rPr>
                <w:sz w:val="20"/>
              </w:rPr>
              <w:t xml:space="preserve">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2268"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984" w:type="dxa"/>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Повышение материальной оснащенности учреждения сферы молодежной политики</w:t>
            </w:r>
          </w:p>
        </w:tc>
        <w:tc>
          <w:tcPr>
            <w:tcW w:w="850" w:type="dxa"/>
          </w:tcPr>
          <w:p>
            <w:pPr>
              <w:pStyle w:val="0"/>
            </w:pPr>
            <w:r>
              <w:rPr>
                <w:sz w:val="20"/>
              </w:rPr>
              <w:t xml:space="preserve">%</w:t>
            </w:r>
          </w:p>
        </w:tc>
        <w:tc>
          <w:tcPr>
            <w:tcW w:w="851" w:type="dxa"/>
          </w:tcPr>
          <w:p>
            <w:pPr>
              <w:pStyle w:val="0"/>
              <w:jc w:val="center"/>
            </w:pPr>
            <w:r>
              <w:rPr>
                <w:sz w:val="20"/>
              </w:rPr>
              <w:t xml:space="preserve">0,5 - 30</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vMerge w:val="restart"/>
          </w:tcPr>
          <w:p>
            <w:pPr>
              <w:pStyle w:val="0"/>
              <w:jc w:val="center"/>
            </w:pPr>
            <w:r>
              <w:rPr>
                <w:sz w:val="20"/>
              </w:rPr>
              <w:t xml:space="preserve">43.</w:t>
            </w:r>
          </w:p>
        </w:tc>
        <w:tc>
          <w:tcPr>
            <w:tcW w:w="2835" w:type="dxa"/>
            <w:vMerge w:val="restart"/>
          </w:tcPr>
          <w:p>
            <w:pPr>
              <w:pStyle w:val="0"/>
            </w:pPr>
            <w:r>
              <w:rPr>
                <w:sz w:val="20"/>
              </w:rPr>
              <w:t xml:space="preserve">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2268" w:type="dxa"/>
            <w:vMerge w:val="restart"/>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984" w:type="dxa"/>
            <w:vMerge w:val="restart"/>
          </w:tcPr>
          <w:p>
            <w:pPr>
              <w:pStyle w:val="0"/>
            </w:pPr>
            <w:r>
              <w:rPr>
                <w:sz w:val="20"/>
              </w:rPr>
              <w:t xml:space="preserve">Департамент образования Владимирской области</w:t>
            </w:r>
          </w:p>
        </w:tc>
        <w:tc>
          <w:tcPr>
            <w:tcW w:w="2551" w:type="dxa"/>
          </w:tcPr>
          <w:p>
            <w:pPr>
              <w:pStyle w:val="0"/>
            </w:pPr>
            <w:r>
              <w:rPr>
                <w:sz w:val="20"/>
              </w:rPr>
              <w:t xml:space="preserve">Количество восстановленных воинских захоронений</w:t>
            </w:r>
          </w:p>
        </w:tc>
        <w:tc>
          <w:tcPr>
            <w:tcW w:w="850" w:type="dxa"/>
          </w:tcPr>
          <w:p>
            <w:pPr>
              <w:pStyle w:val="0"/>
            </w:pPr>
            <w:r>
              <w:rPr>
                <w:sz w:val="20"/>
              </w:rPr>
              <w:t xml:space="preserve">ед.</w:t>
            </w:r>
          </w:p>
        </w:tc>
        <w:tc>
          <w:tcPr>
            <w:tcW w:w="851" w:type="dxa"/>
          </w:tcPr>
          <w:p>
            <w:pPr>
              <w:pStyle w:val="0"/>
              <w:jc w:val="center"/>
            </w:pPr>
            <w:r>
              <w:rPr>
                <w:sz w:val="20"/>
              </w:rPr>
              <w:t xml:space="preserve">6</w:t>
            </w:r>
          </w:p>
        </w:tc>
        <w:tc>
          <w:tcPr>
            <w:tcW w:w="849" w:type="dxa"/>
          </w:tcPr>
          <w:p>
            <w:pPr>
              <w:pStyle w:val="0"/>
              <w:jc w:val="center"/>
            </w:pPr>
            <w:r>
              <w:rPr>
                <w:sz w:val="20"/>
              </w:rPr>
              <w:t xml:space="preserve">6</w:t>
            </w:r>
          </w:p>
        </w:tc>
        <w:tc>
          <w:tcPr>
            <w:tcW w:w="849"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установленных мемориальных знаков</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tcPr>
          <w:p>
            <w:pPr>
              <w:pStyle w:val="0"/>
              <w:jc w:val="center"/>
            </w:pPr>
            <w:r>
              <w:rPr>
                <w:sz w:val="20"/>
              </w:rPr>
              <w:t xml:space="preserve">44.</w:t>
            </w:r>
          </w:p>
        </w:tc>
        <w:tc>
          <w:tcPr>
            <w:tcW w:w="2835" w:type="dxa"/>
          </w:tcPr>
          <w:p>
            <w:pPr>
              <w:pStyle w:val="0"/>
            </w:pPr>
            <w:r>
              <w:rPr>
                <w:sz w:val="20"/>
              </w:rPr>
              <w:t xml:space="preserve">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градостроительной документации, приведенной (разработанной) в соответствие с требованиями Градостроительного </w:t>
            </w:r>
            <w:hyperlink w:history="0" r:id="rId97" w:tooltip="&quot;Градостроительный кодекс Российской Федерации&quot; от 29.12.2004 N 190-ФЗ (ред. от 19.12.2022) ------------ Недействующая редакция {КонсультантПлюс}">
              <w:r>
                <w:rPr>
                  <w:sz w:val="20"/>
                  <w:color w:val="0000ff"/>
                </w:rPr>
                <w:t xml:space="preserve">кодекса</w:t>
              </w:r>
            </w:hyperlink>
            <w:r>
              <w:rPr>
                <w:sz w:val="20"/>
              </w:rPr>
              <w:t xml:space="preserve"> Российской Федерации</w:t>
            </w:r>
          </w:p>
        </w:tc>
        <w:tc>
          <w:tcPr>
            <w:tcW w:w="850" w:type="dxa"/>
          </w:tcPr>
          <w:p>
            <w:pPr>
              <w:pStyle w:val="0"/>
            </w:pPr>
            <w:r>
              <w:rPr>
                <w:sz w:val="20"/>
              </w:rPr>
              <w:t xml:space="preserve">шт.</w:t>
            </w:r>
          </w:p>
        </w:tc>
        <w:tc>
          <w:tcPr>
            <w:tcW w:w="851" w:type="dxa"/>
          </w:tcPr>
          <w:p>
            <w:pPr>
              <w:pStyle w:val="0"/>
              <w:jc w:val="center"/>
            </w:pPr>
            <w:r>
              <w:rPr>
                <w:sz w:val="20"/>
              </w:rPr>
              <w:t xml:space="preserve">36</w:t>
            </w:r>
          </w:p>
        </w:tc>
        <w:tc>
          <w:tcPr>
            <w:tcW w:w="849" w:type="dxa"/>
          </w:tcPr>
          <w:p>
            <w:pPr>
              <w:pStyle w:val="0"/>
              <w:jc w:val="center"/>
            </w:pPr>
            <w:r>
              <w:rPr>
                <w:sz w:val="20"/>
              </w:rPr>
              <w:t xml:space="preserve">36</w:t>
            </w:r>
          </w:p>
        </w:tc>
        <w:tc>
          <w:tcPr>
            <w:tcW w:w="849" w:type="dxa"/>
          </w:tcPr>
          <w:p>
            <w:pPr>
              <w:pStyle w:val="0"/>
              <w:jc w:val="center"/>
            </w:pPr>
            <w:r>
              <w:rPr>
                <w:sz w:val="20"/>
              </w:rPr>
              <w:t xml:space="preserve">25</w:t>
            </w:r>
          </w:p>
        </w:tc>
      </w:tr>
      <w:tr>
        <w:tc>
          <w:tcPr>
            <w:tcW w:w="567" w:type="dxa"/>
          </w:tcPr>
          <w:p>
            <w:pPr>
              <w:pStyle w:val="0"/>
              <w:jc w:val="center"/>
            </w:pPr>
            <w:r>
              <w:rPr>
                <w:sz w:val="20"/>
              </w:rPr>
              <w:t xml:space="preserve">45.</w:t>
            </w:r>
          </w:p>
        </w:tc>
        <w:tc>
          <w:tcPr>
            <w:tcW w:w="2835" w:type="dxa"/>
          </w:tcPr>
          <w:p>
            <w:pPr>
              <w:pStyle w:val="0"/>
            </w:pPr>
            <w:r>
              <w:rPr>
                <w:sz w:val="20"/>
              </w:rPr>
              <w:t xml:space="preserve">Стимулирование программ развития жилищного строительства субъекта Российской Федерации</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Объем жилищного строительства</w:t>
            </w:r>
          </w:p>
        </w:tc>
        <w:tc>
          <w:tcPr>
            <w:tcW w:w="850" w:type="dxa"/>
          </w:tcPr>
          <w:p>
            <w:pPr>
              <w:pStyle w:val="0"/>
            </w:pPr>
            <w:r>
              <w:rPr>
                <w:sz w:val="20"/>
              </w:rPr>
              <w:t xml:space="preserve">тыс. м</w:t>
            </w:r>
            <w:r>
              <w:rPr>
                <w:sz w:val="20"/>
                <w:vertAlign w:val="superscript"/>
              </w:rPr>
              <w:t xml:space="preserve">2</w:t>
            </w:r>
          </w:p>
        </w:tc>
        <w:tc>
          <w:tcPr>
            <w:tcW w:w="851" w:type="dxa"/>
          </w:tcPr>
          <w:p>
            <w:pPr>
              <w:pStyle w:val="0"/>
              <w:jc w:val="center"/>
            </w:pPr>
            <w:r>
              <w:rPr>
                <w:sz w:val="20"/>
              </w:rPr>
              <w:t xml:space="preserve">850</w:t>
            </w:r>
          </w:p>
        </w:tc>
        <w:tc>
          <w:tcPr>
            <w:tcW w:w="849" w:type="dxa"/>
          </w:tcPr>
          <w:p>
            <w:pPr>
              <w:pStyle w:val="0"/>
              <w:jc w:val="center"/>
            </w:pPr>
            <w:r>
              <w:rPr>
                <w:sz w:val="20"/>
              </w:rPr>
              <w:t xml:space="preserve">883</w:t>
            </w:r>
          </w:p>
        </w:tc>
        <w:tc>
          <w:tcPr>
            <w:tcW w:w="849" w:type="dxa"/>
          </w:tcPr>
          <w:p>
            <w:pPr>
              <w:pStyle w:val="0"/>
              <w:jc w:val="center"/>
            </w:pPr>
            <w:r>
              <w:rPr>
                <w:sz w:val="20"/>
              </w:rPr>
              <w:t xml:space="preserve">900</w:t>
            </w:r>
          </w:p>
        </w:tc>
      </w:tr>
      <w:tr>
        <w:tc>
          <w:tcPr>
            <w:tcW w:w="567" w:type="dxa"/>
          </w:tcPr>
          <w:p>
            <w:pPr>
              <w:pStyle w:val="0"/>
              <w:jc w:val="center"/>
            </w:pPr>
            <w:r>
              <w:rPr>
                <w:sz w:val="20"/>
              </w:rPr>
              <w:t xml:space="preserve">46.</w:t>
            </w:r>
          </w:p>
        </w:tc>
        <w:tc>
          <w:tcPr>
            <w:tcW w:w="2835" w:type="dxa"/>
          </w:tcPr>
          <w:p>
            <w:pPr>
              <w:pStyle w:val="0"/>
            </w:pPr>
            <w:r>
              <w:rPr>
                <w:sz w:val="20"/>
              </w:rPr>
              <w:t xml:space="preserve">Обеспечение поддержки многодетных семей</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земельных участков, предоставленных (предоставляемых) многодетным семьям, обеспеченных инженерной и транспортной инфраструктурой</w:t>
            </w:r>
          </w:p>
        </w:tc>
        <w:tc>
          <w:tcPr>
            <w:tcW w:w="850" w:type="dxa"/>
          </w:tcPr>
          <w:p>
            <w:pPr>
              <w:pStyle w:val="0"/>
            </w:pPr>
            <w:r>
              <w:rPr>
                <w:sz w:val="20"/>
              </w:rPr>
              <w:t xml:space="preserve">ед.</w:t>
            </w:r>
          </w:p>
        </w:tc>
        <w:tc>
          <w:tcPr>
            <w:tcW w:w="851" w:type="dxa"/>
          </w:tcPr>
          <w:p>
            <w:pPr>
              <w:pStyle w:val="0"/>
              <w:jc w:val="center"/>
            </w:pPr>
            <w:r>
              <w:rPr>
                <w:sz w:val="20"/>
              </w:rPr>
              <w:t xml:space="preserve">200</w:t>
            </w:r>
          </w:p>
        </w:tc>
        <w:tc>
          <w:tcPr>
            <w:tcW w:w="849" w:type="dxa"/>
          </w:tcPr>
          <w:p>
            <w:pPr>
              <w:pStyle w:val="0"/>
              <w:jc w:val="center"/>
            </w:pPr>
            <w:r>
              <w:rPr>
                <w:sz w:val="20"/>
              </w:rPr>
              <w:t xml:space="preserve">200</w:t>
            </w:r>
          </w:p>
        </w:tc>
        <w:tc>
          <w:tcPr>
            <w:tcW w:w="849" w:type="dxa"/>
          </w:tcPr>
          <w:p>
            <w:pPr>
              <w:pStyle w:val="0"/>
              <w:jc w:val="center"/>
            </w:pPr>
            <w:r>
              <w:rPr>
                <w:sz w:val="20"/>
              </w:rPr>
              <w:t xml:space="preserve">200</w:t>
            </w:r>
          </w:p>
        </w:tc>
      </w:tr>
      <w:tr>
        <w:tc>
          <w:tcPr>
            <w:tcW w:w="567" w:type="dxa"/>
          </w:tcPr>
          <w:p>
            <w:pPr>
              <w:pStyle w:val="0"/>
              <w:jc w:val="center"/>
            </w:pPr>
            <w:r>
              <w:rPr>
                <w:sz w:val="20"/>
              </w:rPr>
              <w:t xml:space="preserve">47.</w:t>
            </w:r>
          </w:p>
        </w:tc>
        <w:tc>
          <w:tcPr>
            <w:tcW w:w="2835" w:type="dxa"/>
          </w:tcPr>
          <w:p>
            <w:pPr>
              <w:pStyle w:val="0"/>
            </w:pPr>
            <w:r>
              <w:rPr>
                <w:sz w:val="20"/>
              </w:rPr>
              <w:t xml:space="preserve">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семей, получивших жилые помещения из муниципального жилищного фонда</w:t>
            </w:r>
          </w:p>
        </w:tc>
        <w:tc>
          <w:tcPr>
            <w:tcW w:w="850" w:type="dxa"/>
          </w:tcPr>
          <w:p>
            <w:pPr>
              <w:pStyle w:val="0"/>
            </w:pPr>
            <w:r>
              <w:rPr>
                <w:sz w:val="20"/>
              </w:rPr>
              <w:t xml:space="preserve">семей</w:t>
            </w:r>
          </w:p>
        </w:tc>
        <w:tc>
          <w:tcPr>
            <w:tcW w:w="851" w:type="dxa"/>
          </w:tcPr>
          <w:p>
            <w:pPr>
              <w:pStyle w:val="0"/>
              <w:jc w:val="center"/>
            </w:pPr>
            <w:r>
              <w:rPr>
                <w:sz w:val="20"/>
              </w:rPr>
              <w:t xml:space="preserve">76</w:t>
            </w:r>
          </w:p>
        </w:tc>
        <w:tc>
          <w:tcPr>
            <w:tcW w:w="849" w:type="dxa"/>
          </w:tcPr>
          <w:p>
            <w:pPr>
              <w:pStyle w:val="0"/>
              <w:jc w:val="center"/>
            </w:pPr>
            <w:r>
              <w:rPr>
                <w:sz w:val="20"/>
              </w:rPr>
              <w:t xml:space="preserve">176</w:t>
            </w:r>
          </w:p>
        </w:tc>
        <w:tc>
          <w:tcPr>
            <w:tcW w:w="849" w:type="dxa"/>
          </w:tcPr>
          <w:p>
            <w:pPr>
              <w:pStyle w:val="0"/>
              <w:jc w:val="center"/>
            </w:pPr>
            <w:r>
              <w:rPr>
                <w:sz w:val="20"/>
              </w:rPr>
              <w:t xml:space="preserve">120</w:t>
            </w:r>
          </w:p>
        </w:tc>
      </w:tr>
      <w:tr>
        <w:tc>
          <w:tcPr>
            <w:tcW w:w="567" w:type="dxa"/>
          </w:tcPr>
          <w:p>
            <w:pPr>
              <w:pStyle w:val="0"/>
              <w:jc w:val="center"/>
            </w:pPr>
            <w:r>
              <w:rPr>
                <w:sz w:val="20"/>
              </w:rPr>
              <w:t xml:space="preserve">48.</w:t>
            </w:r>
          </w:p>
        </w:tc>
        <w:tc>
          <w:tcPr>
            <w:tcW w:w="2835" w:type="dxa"/>
          </w:tcPr>
          <w:p>
            <w:pPr>
              <w:pStyle w:val="0"/>
            </w:pPr>
            <w:r>
              <w:rPr>
                <w:sz w:val="20"/>
              </w:rPr>
              <w:t xml:space="preserve">Оказание мер социальной поддержки по улучшению жилищных условий молодых семей</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молодых семей, получивших свидетельство о праве на получение социальной выплаты на приобретение (строительство) жилого помещения</w:t>
            </w:r>
          </w:p>
        </w:tc>
        <w:tc>
          <w:tcPr>
            <w:tcW w:w="850" w:type="dxa"/>
          </w:tcPr>
          <w:p>
            <w:pPr>
              <w:pStyle w:val="0"/>
            </w:pPr>
            <w:r>
              <w:rPr>
                <w:sz w:val="20"/>
              </w:rPr>
              <w:t xml:space="preserve">семей</w:t>
            </w:r>
          </w:p>
        </w:tc>
        <w:tc>
          <w:tcPr>
            <w:tcW w:w="851" w:type="dxa"/>
          </w:tcPr>
          <w:p>
            <w:pPr>
              <w:pStyle w:val="0"/>
              <w:jc w:val="center"/>
            </w:pPr>
            <w:r>
              <w:rPr>
                <w:sz w:val="20"/>
              </w:rPr>
              <w:t xml:space="preserve">188</w:t>
            </w:r>
          </w:p>
        </w:tc>
        <w:tc>
          <w:tcPr>
            <w:tcW w:w="849" w:type="dxa"/>
          </w:tcPr>
          <w:p>
            <w:pPr>
              <w:pStyle w:val="0"/>
              <w:jc w:val="center"/>
            </w:pPr>
            <w:r>
              <w:rPr>
                <w:sz w:val="20"/>
              </w:rPr>
              <w:t xml:space="preserve">185</w:t>
            </w:r>
          </w:p>
        </w:tc>
        <w:tc>
          <w:tcPr>
            <w:tcW w:w="849" w:type="dxa"/>
          </w:tcPr>
          <w:p>
            <w:pPr>
              <w:pStyle w:val="0"/>
              <w:jc w:val="center"/>
            </w:pPr>
            <w:r>
              <w:rPr>
                <w:sz w:val="20"/>
              </w:rPr>
              <w:t xml:space="preserve">190</w:t>
            </w:r>
          </w:p>
        </w:tc>
      </w:tr>
      <w:tr>
        <w:tc>
          <w:tcPr>
            <w:tcW w:w="567" w:type="dxa"/>
          </w:tcPr>
          <w:p>
            <w:pPr>
              <w:pStyle w:val="0"/>
              <w:jc w:val="center"/>
            </w:pPr>
            <w:r>
              <w:rPr>
                <w:sz w:val="20"/>
              </w:rPr>
              <w:t xml:space="preserve">49.</w:t>
            </w:r>
          </w:p>
        </w:tc>
        <w:tc>
          <w:tcPr>
            <w:tcW w:w="2835" w:type="dxa"/>
          </w:tcPr>
          <w:p>
            <w:pPr>
              <w:pStyle w:val="0"/>
            </w:pPr>
            <w:r>
              <w:rPr>
                <w:sz w:val="20"/>
              </w:rPr>
              <w:t xml:space="preserve">Обеспечение жильем ветеранов, инвалидов и семей, имеющих детей-инвалидов</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граждан, получивших единовременные денежные выплаты и жилищные субсидии за счет федерального бюджета</w:t>
            </w:r>
          </w:p>
        </w:tc>
        <w:tc>
          <w:tcPr>
            <w:tcW w:w="850" w:type="dxa"/>
          </w:tcPr>
          <w:p>
            <w:pPr>
              <w:pStyle w:val="0"/>
            </w:pPr>
            <w:r>
              <w:rPr>
                <w:sz w:val="20"/>
              </w:rPr>
              <w:t xml:space="preserve">граждан</w:t>
            </w:r>
          </w:p>
        </w:tc>
        <w:tc>
          <w:tcPr>
            <w:tcW w:w="851" w:type="dxa"/>
          </w:tcPr>
          <w:p>
            <w:pPr>
              <w:pStyle w:val="0"/>
              <w:jc w:val="center"/>
            </w:pPr>
            <w:r>
              <w:rPr>
                <w:sz w:val="20"/>
              </w:rPr>
              <w:t xml:space="preserve">19</w:t>
            </w:r>
          </w:p>
        </w:tc>
        <w:tc>
          <w:tcPr>
            <w:tcW w:w="849" w:type="dxa"/>
          </w:tcPr>
          <w:p>
            <w:pPr>
              <w:pStyle w:val="0"/>
              <w:jc w:val="center"/>
            </w:pPr>
            <w:r>
              <w:rPr>
                <w:sz w:val="20"/>
              </w:rPr>
              <w:t xml:space="preserve">21</w:t>
            </w:r>
          </w:p>
        </w:tc>
        <w:tc>
          <w:tcPr>
            <w:tcW w:w="849" w:type="dxa"/>
          </w:tcPr>
          <w:p>
            <w:pPr>
              <w:pStyle w:val="0"/>
              <w:jc w:val="center"/>
            </w:pPr>
            <w:r>
              <w:rPr>
                <w:sz w:val="20"/>
              </w:rPr>
              <w:t xml:space="preserve">19</w:t>
            </w:r>
          </w:p>
        </w:tc>
      </w:tr>
      <w:tr>
        <w:tc>
          <w:tcPr>
            <w:tcW w:w="567" w:type="dxa"/>
          </w:tcPr>
          <w:p>
            <w:pPr>
              <w:pStyle w:val="0"/>
              <w:jc w:val="center"/>
            </w:pPr>
            <w:r>
              <w:rPr>
                <w:sz w:val="20"/>
              </w:rPr>
              <w:t xml:space="preserve">50.</w:t>
            </w:r>
          </w:p>
        </w:tc>
        <w:tc>
          <w:tcPr>
            <w:tcW w:w="2835" w:type="dxa"/>
          </w:tcPr>
          <w:p>
            <w:pPr>
              <w:pStyle w:val="0"/>
            </w:pPr>
            <w:r>
              <w:rPr>
                <w:sz w:val="20"/>
              </w:rPr>
              <w:t xml:space="preserve">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граждан, получивших свидетельства о праве на получение жилищной субсидии за счет областного бюджета</w:t>
            </w:r>
          </w:p>
        </w:tc>
        <w:tc>
          <w:tcPr>
            <w:tcW w:w="850" w:type="dxa"/>
          </w:tcPr>
          <w:p>
            <w:pPr>
              <w:pStyle w:val="0"/>
            </w:pPr>
            <w:r>
              <w:rPr>
                <w:sz w:val="20"/>
              </w:rPr>
              <w:t xml:space="preserve">граждан</w:t>
            </w:r>
          </w:p>
        </w:tc>
        <w:tc>
          <w:tcPr>
            <w:tcW w:w="851" w:type="dxa"/>
          </w:tcPr>
          <w:p>
            <w:pPr>
              <w:pStyle w:val="0"/>
              <w:jc w:val="center"/>
            </w:pPr>
            <w:r>
              <w:rPr>
                <w:sz w:val="20"/>
              </w:rPr>
              <w:t xml:space="preserve">39</w:t>
            </w:r>
          </w:p>
        </w:tc>
        <w:tc>
          <w:tcPr>
            <w:tcW w:w="849" w:type="dxa"/>
          </w:tcPr>
          <w:p>
            <w:pPr>
              <w:pStyle w:val="0"/>
              <w:jc w:val="center"/>
            </w:pPr>
            <w:r>
              <w:rPr>
                <w:sz w:val="20"/>
              </w:rPr>
              <w:t xml:space="preserve">41</w:t>
            </w:r>
          </w:p>
        </w:tc>
        <w:tc>
          <w:tcPr>
            <w:tcW w:w="849" w:type="dxa"/>
          </w:tcPr>
          <w:p>
            <w:pPr>
              <w:pStyle w:val="0"/>
              <w:jc w:val="center"/>
            </w:pPr>
            <w:r>
              <w:rPr>
                <w:sz w:val="20"/>
              </w:rPr>
              <w:t xml:space="preserve">44</w:t>
            </w:r>
          </w:p>
        </w:tc>
      </w:tr>
      <w:tr>
        <w:tc>
          <w:tcPr>
            <w:tcW w:w="567" w:type="dxa"/>
          </w:tcPr>
          <w:p>
            <w:pPr>
              <w:pStyle w:val="0"/>
              <w:jc w:val="center"/>
            </w:pPr>
            <w:r>
              <w:rPr>
                <w:sz w:val="20"/>
              </w:rPr>
              <w:t xml:space="preserve">51.</w:t>
            </w:r>
          </w:p>
        </w:tc>
        <w:tc>
          <w:tcPr>
            <w:tcW w:w="2835" w:type="dxa"/>
          </w:tcPr>
          <w:p>
            <w:pPr>
              <w:pStyle w:val="0"/>
            </w:pPr>
            <w:r>
              <w:rPr>
                <w:sz w:val="20"/>
              </w:rPr>
              <w:t xml:space="preserve">Обеспечение мер социальной поддержки многодетных семей</w:t>
            </w:r>
          </w:p>
        </w:tc>
        <w:tc>
          <w:tcPr>
            <w:tcW w:w="226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многодетных семей, получивших свидетельство о праве на получение социальной выплаты на строительство индивидуального жилого дома</w:t>
            </w:r>
          </w:p>
        </w:tc>
        <w:tc>
          <w:tcPr>
            <w:tcW w:w="850" w:type="dxa"/>
          </w:tcPr>
          <w:p>
            <w:pPr>
              <w:pStyle w:val="0"/>
            </w:pPr>
            <w:r>
              <w:rPr>
                <w:sz w:val="20"/>
              </w:rPr>
              <w:t xml:space="preserve">семей</w:t>
            </w:r>
          </w:p>
        </w:tc>
        <w:tc>
          <w:tcPr>
            <w:tcW w:w="851" w:type="dxa"/>
          </w:tcPr>
          <w:p>
            <w:pPr>
              <w:pStyle w:val="0"/>
              <w:jc w:val="center"/>
            </w:pPr>
            <w:r>
              <w:rPr>
                <w:sz w:val="20"/>
              </w:rPr>
              <w:t xml:space="preserve">66</w:t>
            </w:r>
          </w:p>
        </w:tc>
        <w:tc>
          <w:tcPr>
            <w:tcW w:w="849" w:type="dxa"/>
          </w:tcPr>
          <w:p>
            <w:pPr>
              <w:pStyle w:val="0"/>
              <w:jc w:val="center"/>
            </w:pPr>
            <w:r>
              <w:rPr>
                <w:sz w:val="20"/>
              </w:rPr>
              <w:t xml:space="preserve">68</w:t>
            </w:r>
          </w:p>
        </w:tc>
        <w:tc>
          <w:tcPr>
            <w:tcW w:w="849" w:type="dxa"/>
          </w:tcPr>
          <w:p>
            <w:pPr>
              <w:pStyle w:val="0"/>
              <w:jc w:val="center"/>
            </w:pPr>
            <w:r>
              <w:rPr>
                <w:sz w:val="20"/>
              </w:rPr>
              <w:t xml:space="preserve">70</w:t>
            </w:r>
          </w:p>
        </w:tc>
      </w:tr>
      <w:tr>
        <w:tc>
          <w:tcPr>
            <w:tcW w:w="567" w:type="dxa"/>
            <w:vMerge w:val="restart"/>
          </w:tcPr>
          <w:p>
            <w:pPr>
              <w:pStyle w:val="0"/>
              <w:jc w:val="center"/>
            </w:pPr>
            <w:r>
              <w:rPr>
                <w:sz w:val="20"/>
              </w:rPr>
              <w:t xml:space="preserve">52.</w:t>
            </w:r>
          </w:p>
        </w:tc>
        <w:tc>
          <w:tcPr>
            <w:tcW w:w="2835" w:type="dxa"/>
            <w:vMerge w:val="restart"/>
          </w:tcPr>
          <w:p>
            <w:pPr>
              <w:pStyle w:val="0"/>
            </w:pPr>
            <w:r>
              <w:rPr>
                <w:sz w:val="20"/>
              </w:rPr>
              <w:t xml:space="preserve">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2268" w:type="dxa"/>
            <w:vMerge w:val="restart"/>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984" w:type="dxa"/>
            <w:vMerge w:val="restart"/>
          </w:tcPr>
          <w:p>
            <w:pPr>
              <w:pStyle w:val="0"/>
            </w:pPr>
            <w:r>
              <w:rPr>
                <w:sz w:val="20"/>
              </w:rPr>
              <w:t xml:space="preserve">Департамент архитектуры и строительства Владимирской области</w:t>
            </w:r>
          </w:p>
        </w:tc>
        <w:tc>
          <w:tcPr>
            <w:tcW w:w="2551" w:type="dxa"/>
          </w:tcPr>
          <w:p>
            <w:pPr>
              <w:pStyle w:val="0"/>
            </w:pPr>
            <w:r>
              <w:rPr>
                <w:sz w:val="20"/>
              </w:rPr>
              <w:t xml:space="preserve">Количество граждан, участников долевого строительства, права которых восстановлены</w:t>
            </w:r>
          </w:p>
        </w:tc>
        <w:tc>
          <w:tcPr>
            <w:tcW w:w="850" w:type="dxa"/>
          </w:tcPr>
          <w:p>
            <w:pPr>
              <w:pStyle w:val="0"/>
            </w:pPr>
            <w:r>
              <w:rPr>
                <w:sz w:val="20"/>
              </w:rPr>
              <w:t xml:space="preserve">граждан</w:t>
            </w:r>
          </w:p>
        </w:tc>
        <w:tc>
          <w:tcPr>
            <w:tcW w:w="851" w:type="dxa"/>
          </w:tcPr>
          <w:p>
            <w:pPr>
              <w:pStyle w:val="0"/>
              <w:jc w:val="center"/>
            </w:pPr>
            <w:r>
              <w:rPr>
                <w:sz w:val="20"/>
              </w:rPr>
              <w:t xml:space="preserve">314</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многоквартирных домов, исключенных из единого реестра проблемных объектов, предусмотренного </w:t>
            </w:r>
            <w:hyperlink w:history="0" r:id="rId98" w:tooltip="Федеральный закон от 30.12.2004 N 214-ФЗ (ред. от 14.03.2022)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 Недействующая редакция {КонсультантПлюс}">
              <w:r>
                <w:rPr>
                  <w:sz w:val="20"/>
                  <w:color w:val="0000ff"/>
                </w:rPr>
                <w:t xml:space="preserve">частью 1.1 статьи 23.1</w:t>
              </w:r>
            </w:hyperlink>
            <w:r>
              <w:rPr>
                <w:sz w:val="20"/>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vMerge w:val="restart"/>
          </w:tcPr>
          <w:p>
            <w:pPr>
              <w:pStyle w:val="0"/>
              <w:jc w:val="center"/>
            </w:pPr>
            <w:r>
              <w:rPr>
                <w:sz w:val="20"/>
              </w:rPr>
              <w:t xml:space="preserve">53.</w:t>
            </w:r>
          </w:p>
        </w:tc>
        <w:tc>
          <w:tcPr>
            <w:tcW w:w="2835" w:type="dxa"/>
            <w:vMerge w:val="restart"/>
          </w:tcPr>
          <w:p>
            <w:pPr>
              <w:pStyle w:val="0"/>
            </w:pPr>
            <w:r>
              <w:rPr>
                <w:sz w:val="20"/>
              </w:rPr>
              <w:t xml:space="preserve">Благоустройство сельских территорий</w:t>
            </w:r>
          </w:p>
        </w:tc>
        <w:tc>
          <w:tcPr>
            <w:tcW w:w="2268" w:type="dxa"/>
            <w:vMerge w:val="restart"/>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984" w:type="dxa"/>
            <w:vMerge w:val="restart"/>
          </w:tcPr>
          <w:p>
            <w:pPr>
              <w:pStyle w:val="0"/>
            </w:pPr>
            <w:r>
              <w:rPr>
                <w:sz w:val="20"/>
              </w:rPr>
              <w:t xml:space="preserve">Департамент сельского хозяйства Владимирской области</w:t>
            </w:r>
          </w:p>
        </w:tc>
        <w:tc>
          <w:tcPr>
            <w:tcW w:w="2551" w:type="dxa"/>
          </w:tcPr>
          <w:p>
            <w:pPr>
              <w:pStyle w:val="0"/>
            </w:pPr>
            <w:r>
              <w:rPr>
                <w:sz w:val="20"/>
              </w:rPr>
              <w:t xml:space="preserve">Количество реализованных общественно значимых проектов по благоустройству сельских территорий</w:t>
            </w:r>
          </w:p>
        </w:tc>
        <w:tc>
          <w:tcPr>
            <w:tcW w:w="850" w:type="dxa"/>
          </w:tcPr>
          <w:p>
            <w:pPr>
              <w:pStyle w:val="0"/>
            </w:pPr>
            <w:r>
              <w:rPr>
                <w:sz w:val="20"/>
              </w:rPr>
              <w:t xml:space="preserve">ед.</w:t>
            </w:r>
          </w:p>
        </w:tc>
        <w:tc>
          <w:tcPr>
            <w:tcW w:w="851" w:type="dxa"/>
          </w:tcPr>
          <w:p>
            <w:pPr>
              <w:pStyle w:val="0"/>
              <w:jc w:val="center"/>
            </w:pPr>
            <w:r>
              <w:rPr>
                <w:sz w:val="20"/>
              </w:rPr>
              <w:t xml:space="preserve">12</w:t>
            </w:r>
          </w:p>
        </w:tc>
        <w:tc>
          <w:tcPr>
            <w:tcW w:w="849" w:type="dxa"/>
          </w:tcPr>
          <w:p>
            <w:pPr>
              <w:pStyle w:val="0"/>
              <w:jc w:val="center"/>
            </w:pPr>
            <w:r>
              <w:rPr>
                <w:sz w:val="20"/>
              </w:rPr>
              <w:t xml:space="preserve">12</w:t>
            </w:r>
          </w:p>
        </w:tc>
        <w:tc>
          <w:tcPr>
            <w:tcW w:w="849" w:type="dxa"/>
          </w:tcPr>
          <w:p>
            <w:pPr>
              <w:pStyle w:val="0"/>
              <w:jc w:val="center"/>
            </w:pPr>
            <w:r>
              <w:rPr>
                <w:sz w:val="20"/>
              </w:rPr>
              <w:t xml:space="preserve">12</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Объем площадей, обработанных от борщевика Сосновского</w:t>
            </w:r>
          </w:p>
        </w:tc>
        <w:tc>
          <w:tcPr>
            <w:tcW w:w="850" w:type="dxa"/>
          </w:tcPr>
          <w:p>
            <w:pPr>
              <w:pStyle w:val="0"/>
            </w:pPr>
            <w:r>
              <w:rPr>
                <w:sz w:val="20"/>
              </w:rPr>
              <w:t xml:space="preserve">гектаров</w:t>
            </w:r>
          </w:p>
        </w:tc>
        <w:tc>
          <w:tcPr>
            <w:tcW w:w="851" w:type="dxa"/>
          </w:tcPr>
          <w:p>
            <w:pPr>
              <w:pStyle w:val="0"/>
              <w:jc w:val="center"/>
            </w:pPr>
            <w:r>
              <w:rPr>
                <w:sz w:val="20"/>
              </w:rPr>
              <w:t xml:space="preserve">478,46</w:t>
            </w:r>
          </w:p>
        </w:tc>
        <w:tc>
          <w:tcPr>
            <w:tcW w:w="849" w:type="dxa"/>
          </w:tcPr>
          <w:p>
            <w:pPr>
              <w:pStyle w:val="0"/>
              <w:jc w:val="center"/>
            </w:pPr>
            <w:r>
              <w:rPr>
                <w:sz w:val="20"/>
              </w:rPr>
              <w:t xml:space="preserve">478,46</w:t>
            </w:r>
          </w:p>
        </w:tc>
        <w:tc>
          <w:tcPr>
            <w:tcW w:w="849" w:type="dxa"/>
          </w:tcPr>
          <w:p>
            <w:pPr>
              <w:pStyle w:val="0"/>
              <w:jc w:val="center"/>
            </w:pPr>
            <w:r>
              <w:rPr>
                <w:sz w:val="20"/>
              </w:rPr>
              <w:t xml:space="preserve">478,46</w:t>
            </w:r>
          </w:p>
        </w:tc>
      </w:tr>
      <w:tr>
        <w:tc>
          <w:tcPr>
            <w:tcW w:w="567" w:type="dxa"/>
          </w:tcPr>
          <w:p>
            <w:pPr>
              <w:pStyle w:val="0"/>
              <w:jc w:val="center"/>
            </w:pPr>
            <w:r>
              <w:rPr>
                <w:sz w:val="20"/>
              </w:rPr>
              <w:t xml:space="preserve">54.</w:t>
            </w:r>
          </w:p>
        </w:tc>
        <w:tc>
          <w:tcPr>
            <w:tcW w:w="2835" w:type="dxa"/>
          </w:tcPr>
          <w:p>
            <w:pPr>
              <w:pStyle w:val="0"/>
            </w:pPr>
            <w:r>
              <w:rPr>
                <w:sz w:val="20"/>
              </w:rPr>
              <w:t xml:space="preserve">Современный облик сельских территорий</w:t>
            </w:r>
          </w:p>
        </w:tc>
        <w:tc>
          <w:tcPr>
            <w:tcW w:w="2268"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984" w:type="dxa"/>
          </w:tcPr>
          <w:p>
            <w:pPr>
              <w:pStyle w:val="0"/>
            </w:pPr>
            <w:r>
              <w:rPr>
                <w:sz w:val="20"/>
              </w:rPr>
              <w:t xml:space="preserve">Департамент сельского хозяйства Владимирской области</w:t>
            </w:r>
          </w:p>
        </w:tc>
        <w:tc>
          <w:tcPr>
            <w:tcW w:w="2551" w:type="dxa"/>
          </w:tcPr>
          <w:p>
            <w:pPr>
              <w:pStyle w:val="0"/>
            </w:pPr>
            <w:r>
              <w:rPr>
                <w:sz w:val="20"/>
              </w:rPr>
              <w:t xml:space="preserve">Количество реализованных проектов комплексного развития сельских территорий</w:t>
            </w:r>
          </w:p>
        </w:tc>
        <w:tc>
          <w:tcPr>
            <w:tcW w:w="850" w:type="dxa"/>
          </w:tcPr>
          <w:p>
            <w:pPr>
              <w:pStyle w:val="0"/>
            </w:pPr>
            <w:r>
              <w:rPr>
                <w:sz w:val="20"/>
              </w:rPr>
              <w:t xml:space="preserve">ед.</w:t>
            </w:r>
          </w:p>
        </w:tc>
        <w:tc>
          <w:tcPr>
            <w:tcW w:w="851" w:type="dxa"/>
          </w:tcPr>
          <w:p>
            <w:pPr>
              <w:pStyle w:val="0"/>
              <w:jc w:val="center"/>
            </w:pPr>
            <w:r>
              <w:rPr>
                <w:sz w:val="20"/>
              </w:rPr>
              <w:t xml:space="preserve">1</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tcPr>
          <w:p>
            <w:pPr>
              <w:pStyle w:val="0"/>
              <w:jc w:val="center"/>
            </w:pPr>
            <w:r>
              <w:rPr>
                <w:sz w:val="20"/>
              </w:rPr>
              <w:t xml:space="preserve">55.</w:t>
            </w:r>
          </w:p>
        </w:tc>
        <w:tc>
          <w:tcPr>
            <w:tcW w:w="2835" w:type="dxa"/>
          </w:tcPr>
          <w:p>
            <w:pPr>
              <w:pStyle w:val="0"/>
            </w:pPr>
            <w:r>
              <w:rPr>
                <w:sz w:val="20"/>
              </w:rPr>
              <w:t xml:space="preserve">Модернизация систем уличного наружного освещения муниципальных образований области</w:t>
            </w:r>
          </w:p>
        </w:tc>
        <w:tc>
          <w:tcPr>
            <w:tcW w:w="2268"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984" w:type="dxa"/>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установленных энергосберегающих светильников</w:t>
            </w:r>
          </w:p>
        </w:tc>
        <w:tc>
          <w:tcPr>
            <w:tcW w:w="850" w:type="dxa"/>
          </w:tcPr>
          <w:p>
            <w:pPr>
              <w:pStyle w:val="0"/>
            </w:pPr>
            <w:r>
              <w:rPr>
                <w:sz w:val="20"/>
              </w:rPr>
              <w:t xml:space="preserve">ед.</w:t>
            </w:r>
          </w:p>
        </w:tc>
        <w:tc>
          <w:tcPr>
            <w:tcW w:w="851" w:type="dxa"/>
          </w:tcPr>
          <w:p>
            <w:pPr>
              <w:pStyle w:val="0"/>
              <w:jc w:val="center"/>
            </w:pPr>
            <w:r>
              <w:rPr>
                <w:sz w:val="20"/>
              </w:rPr>
              <w:t xml:space="preserve">1500</w:t>
            </w:r>
          </w:p>
        </w:tc>
        <w:tc>
          <w:tcPr>
            <w:tcW w:w="849" w:type="dxa"/>
          </w:tcPr>
          <w:p>
            <w:pPr>
              <w:pStyle w:val="0"/>
              <w:jc w:val="center"/>
            </w:pPr>
            <w:r>
              <w:rPr>
                <w:sz w:val="20"/>
              </w:rPr>
              <w:t xml:space="preserve">1500</w:t>
            </w:r>
          </w:p>
        </w:tc>
        <w:tc>
          <w:tcPr>
            <w:tcW w:w="849" w:type="dxa"/>
          </w:tcPr>
          <w:p>
            <w:pPr>
              <w:pStyle w:val="0"/>
              <w:jc w:val="center"/>
            </w:pPr>
            <w:r>
              <w:rPr>
                <w:sz w:val="20"/>
              </w:rPr>
              <w:t xml:space="preserve">1500</w:t>
            </w:r>
          </w:p>
        </w:tc>
      </w:tr>
      <w:tr>
        <w:tc>
          <w:tcPr>
            <w:tcW w:w="567" w:type="dxa"/>
            <w:vMerge w:val="restart"/>
          </w:tcPr>
          <w:p>
            <w:pPr>
              <w:pStyle w:val="0"/>
              <w:jc w:val="center"/>
            </w:pPr>
            <w:r>
              <w:rPr>
                <w:sz w:val="20"/>
              </w:rPr>
              <w:t xml:space="preserve">56.</w:t>
            </w:r>
          </w:p>
        </w:tc>
        <w:tc>
          <w:tcPr>
            <w:tcW w:w="2835" w:type="dxa"/>
            <w:vMerge w:val="restart"/>
          </w:tcPr>
          <w:p>
            <w:pPr>
              <w:pStyle w:val="0"/>
            </w:pPr>
            <w:r>
              <w:rPr>
                <w:sz w:val="20"/>
              </w:rPr>
              <w:t xml:space="preserve">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2268" w:type="dxa"/>
            <w:vMerge w:val="restart"/>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муниципальных квартир, переведенных на индивидуальное отопление</w:t>
            </w:r>
          </w:p>
        </w:tc>
        <w:tc>
          <w:tcPr>
            <w:tcW w:w="850" w:type="dxa"/>
          </w:tcPr>
          <w:p>
            <w:pPr>
              <w:pStyle w:val="0"/>
            </w:pPr>
            <w:r>
              <w:rPr>
                <w:sz w:val="20"/>
              </w:rPr>
              <w:t xml:space="preserve">ед.</w:t>
            </w:r>
          </w:p>
        </w:tc>
        <w:tc>
          <w:tcPr>
            <w:tcW w:w="851" w:type="dxa"/>
          </w:tcPr>
          <w:p>
            <w:pPr>
              <w:pStyle w:val="0"/>
              <w:jc w:val="center"/>
            </w:pPr>
            <w:r>
              <w:rPr>
                <w:sz w:val="20"/>
              </w:rPr>
              <w:t xml:space="preserve">15</w:t>
            </w:r>
          </w:p>
        </w:tc>
        <w:tc>
          <w:tcPr>
            <w:tcW w:w="849" w:type="dxa"/>
          </w:tcPr>
          <w:p>
            <w:pPr>
              <w:pStyle w:val="0"/>
              <w:jc w:val="center"/>
            </w:pPr>
            <w:r>
              <w:rPr>
                <w:sz w:val="20"/>
              </w:rPr>
              <w:t xml:space="preserve">15</w:t>
            </w:r>
          </w:p>
        </w:tc>
        <w:tc>
          <w:tcPr>
            <w:tcW w:w="849" w:type="dxa"/>
          </w:tcPr>
          <w:p>
            <w:pPr>
              <w:pStyle w:val="0"/>
              <w:jc w:val="center"/>
            </w:pPr>
            <w:r>
              <w:rPr>
                <w:sz w:val="20"/>
              </w:rPr>
              <w:t xml:space="preserve">15</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построенных, реконструируемых и модернизируемых котельных</w:t>
            </w:r>
          </w:p>
        </w:tc>
        <w:tc>
          <w:tcPr>
            <w:tcW w:w="850" w:type="dxa"/>
          </w:tcPr>
          <w:p>
            <w:pPr>
              <w:pStyle w:val="0"/>
            </w:pPr>
            <w:r>
              <w:rPr>
                <w:sz w:val="20"/>
              </w:rPr>
              <w:t xml:space="preserve">ед.</w:t>
            </w:r>
          </w:p>
        </w:tc>
        <w:tc>
          <w:tcPr>
            <w:tcW w:w="851" w:type="dxa"/>
          </w:tcPr>
          <w:p>
            <w:pPr>
              <w:pStyle w:val="0"/>
              <w:jc w:val="center"/>
            </w:pPr>
            <w:r>
              <w:rPr>
                <w:sz w:val="20"/>
              </w:rPr>
              <w:t xml:space="preserve">4</w:t>
            </w:r>
          </w:p>
        </w:tc>
        <w:tc>
          <w:tcPr>
            <w:tcW w:w="849" w:type="dxa"/>
          </w:tcPr>
          <w:p>
            <w:pPr>
              <w:pStyle w:val="0"/>
              <w:jc w:val="center"/>
            </w:pPr>
            <w:r>
              <w:rPr>
                <w:sz w:val="20"/>
              </w:rPr>
              <w:t xml:space="preserve">4</w:t>
            </w:r>
          </w:p>
        </w:tc>
        <w:tc>
          <w:tcPr>
            <w:tcW w:w="849" w:type="dxa"/>
          </w:tcPr>
          <w:p>
            <w:pPr>
              <w:pStyle w:val="0"/>
              <w:jc w:val="center"/>
            </w:pPr>
            <w:r>
              <w:rPr>
                <w:sz w:val="20"/>
              </w:rPr>
              <w:t xml:space="preserve">4</w:t>
            </w:r>
          </w:p>
        </w:tc>
      </w:tr>
      <w:tr>
        <w:tc>
          <w:tcPr>
            <w:tcW w:w="567" w:type="dxa"/>
            <w:tcBorders>
              <w:bottom w:val="nil"/>
            </w:tcBorders>
            <w:vMerge w:val="restart"/>
          </w:tcPr>
          <w:p>
            <w:pPr>
              <w:pStyle w:val="0"/>
              <w:jc w:val="center"/>
            </w:pPr>
            <w:r>
              <w:rPr>
                <w:sz w:val="20"/>
              </w:rPr>
              <w:t xml:space="preserve">57.</w:t>
            </w:r>
          </w:p>
        </w:tc>
        <w:tc>
          <w:tcPr>
            <w:tcW w:w="2835" w:type="dxa"/>
            <w:tcBorders>
              <w:bottom w:val="nil"/>
            </w:tcBorders>
            <w:vMerge w:val="restart"/>
          </w:tcPr>
          <w:p>
            <w:pPr>
              <w:pStyle w:val="0"/>
            </w:pPr>
            <w:r>
              <w:rPr>
                <w:sz w:val="20"/>
              </w:rPr>
              <w:t xml:space="preserve">Мероприятия по благоустройству дворовых и (или) общественных территорий</w:t>
            </w:r>
          </w:p>
        </w:tc>
        <w:tc>
          <w:tcPr>
            <w:tcW w:w="2268" w:type="dxa"/>
            <w:tcBorders>
              <w:bottom w:val="nil"/>
            </w:tcBorders>
            <w:vMerge w:val="restart"/>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984" w:type="dxa"/>
            <w:tcBorders>
              <w:bottom w:val="nil"/>
            </w:tcBorders>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благоустроенных дворовых территорий, включенных в государственные (муниципальные) программы формирования современной городской среды</w:t>
            </w:r>
          </w:p>
        </w:tc>
        <w:tc>
          <w:tcPr>
            <w:tcW w:w="850" w:type="dxa"/>
          </w:tcPr>
          <w:p>
            <w:pPr>
              <w:pStyle w:val="0"/>
            </w:pPr>
            <w:r>
              <w:rPr>
                <w:sz w:val="20"/>
              </w:rPr>
              <w:t xml:space="preserve">ед.</w:t>
            </w:r>
          </w:p>
        </w:tc>
        <w:tc>
          <w:tcPr>
            <w:tcW w:w="851" w:type="dxa"/>
          </w:tcPr>
          <w:p>
            <w:pPr>
              <w:pStyle w:val="0"/>
              <w:jc w:val="center"/>
            </w:pPr>
            <w:r>
              <w:rPr>
                <w:sz w:val="20"/>
              </w:rPr>
              <w:t xml:space="preserve">20</w:t>
            </w:r>
          </w:p>
        </w:tc>
        <w:tc>
          <w:tcPr>
            <w:tcW w:w="849" w:type="dxa"/>
          </w:tcPr>
          <w:p>
            <w:pPr>
              <w:pStyle w:val="0"/>
              <w:jc w:val="center"/>
            </w:pPr>
            <w:r>
              <w:rPr>
                <w:sz w:val="20"/>
              </w:rPr>
              <w:t xml:space="preserve">20</w:t>
            </w:r>
          </w:p>
        </w:tc>
        <w:tc>
          <w:tcPr>
            <w:tcW w:w="849" w:type="dxa"/>
          </w:tcPr>
          <w:p>
            <w:pPr>
              <w:pStyle w:val="0"/>
              <w:jc w:val="center"/>
            </w:pPr>
            <w:r>
              <w:rPr>
                <w:sz w:val="20"/>
              </w:rPr>
              <w:t xml:space="preserve">20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551" w:type="dxa"/>
          </w:tcPr>
          <w:p>
            <w:pPr>
              <w:pStyle w:val="0"/>
            </w:pPr>
            <w:r>
              <w:rPr>
                <w:sz w:val="20"/>
              </w:rPr>
              <w:t xml:space="preserve">Количество благоустроенных общественных территорий</w:t>
            </w:r>
          </w:p>
        </w:tc>
        <w:tc>
          <w:tcPr>
            <w:tcW w:w="850" w:type="dxa"/>
          </w:tcPr>
          <w:p>
            <w:pPr>
              <w:pStyle w:val="0"/>
            </w:pPr>
            <w:r>
              <w:rPr>
                <w:sz w:val="20"/>
              </w:rPr>
              <w:t xml:space="preserve">ед.</w:t>
            </w:r>
          </w:p>
        </w:tc>
        <w:tc>
          <w:tcPr>
            <w:tcW w:w="851" w:type="dxa"/>
          </w:tcPr>
          <w:p>
            <w:pPr>
              <w:pStyle w:val="0"/>
              <w:jc w:val="center"/>
            </w:pPr>
            <w:r>
              <w:rPr>
                <w:sz w:val="20"/>
              </w:rPr>
              <w:t xml:space="preserve">28</w:t>
            </w:r>
          </w:p>
        </w:tc>
        <w:tc>
          <w:tcPr>
            <w:tcW w:w="849" w:type="dxa"/>
          </w:tcPr>
          <w:p>
            <w:pPr>
              <w:pStyle w:val="0"/>
              <w:jc w:val="center"/>
            </w:pPr>
            <w:r>
              <w:rPr>
                <w:sz w:val="20"/>
              </w:rPr>
              <w:t xml:space="preserve">28</w:t>
            </w:r>
          </w:p>
        </w:tc>
        <w:tc>
          <w:tcPr>
            <w:tcW w:w="849" w:type="dxa"/>
          </w:tcPr>
          <w:p>
            <w:pPr>
              <w:pStyle w:val="0"/>
              <w:jc w:val="center"/>
            </w:pPr>
            <w:r>
              <w:rPr>
                <w:sz w:val="20"/>
              </w:rPr>
              <w:t xml:space="preserve">28</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551" w:type="dxa"/>
          </w:tcPr>
          <w:p>
            <w:pPr>
              <w:pStyle w:val="0"/>
            </w:pPr>
            <w:r>
              <w:rPr>
                <w:sz w:val="20"/>
              </w:rPr>
              <w:t xml:space="preserve">Индекс качества городской среды</w:t>
            </w:r>
          </w:p>
        </w:tc>
        <w:tc>
          <w:tcPr>
            <w:tcW w:w="850" w:type="dxa"/>
          </w:tcPr>
          <w:p>
            <w:pPr>
              <w:pStyle w:val="0"/>
            </w:pPr>
            <w:r>
              <w:rPr>
                <w:sz w:val="20"/>
              </w:rPr>
              <w:t xml:space="preserve">ед.</w:t>
            </w:r>
          </w:p>
        </w:tc>
        <w:tc>
          <w:tcPr>
            <w:tcW w:w="851" w:type="dxa"/>
          </w:tcPr>
          <w:p>
            <w:pPr>
              <w:pStyle w:val="0"/>
              <w:jc w:val="center"/>
            </w:pPr>
            <w:r>
              <w:rPr>
                <w:sz w:val="20"/>
              </w:rPr>
              <w:t xml:space="preserve">208</w:t>
            </w:r>
          </w:p>
        </w:tc>
        <w:tc>
          <w:tcPr>
            <w:tcW w:w="849" w:type="dxa"/>
          </w:tcPr>
          <w:p>
            <w:pPr>
              <w:pStyle w:val="0"/>
              <w:jc w:val="center"/>
            </w:pPr>
            <w:r>
              <w:rPr>
                <w:sz w:val="20"/>
              </w:rPr>
              <w:t xml:space="preserve">217</w:t>
            </w:r>
          </w:p>
        </w:tc>
        <w:tc>
          <w:tcPr>
            <w:tcW w:w="849" w:type="dxa"/>
          </w:tcPr>
          <w:p>
            <w:pPr>
              <w:pStyle w:val="0"/>
              <w:jc w:val="center"/>
            </w:pPr>
            <w:r>
              <w:rPr>
                <w:sz w:val="20"/>
              </w:rPr>
              <w:t xml:space="preserve">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551" w:type="dxa"/>
          </w:tcPr>
          <w:p>
            <w:pPr>
              <w:pStyle w:val="0"/>
            </w:pPr>
            <w:r>
              <w:rPr>
                <w:sz w:val="20"/>
              </w:rPr>
              <w:t xml:space="preserve">Количество городов с благоприятной городской средой</w:t>
            </w:r>
          </w:p>
        </w:tc>
        <w:tc>
          <w:tcPr>
            <w:tcW w:w="850" w:type="dxa"/>
          </w:tcPr>
          <w:p>
            <w:pPr>
              <w:pStyle w:val="0"/>
            </w:pPr>
            <w:r>
              <w:rPr>
                <w:sz w:val="20"/>
              </w:rPr>
              <w:t xml:space="preserve">ед.</w:t>
            </w:r>
          </w:p>
        </w:tc>
        <w:tc>
          <w:tcPr>
            <w:tcW w:w="851" w:type="dxa"/>
          </w:tcPr>
          <w:p>
            <w:pPr>
              <w:pStyle w:val="0"/>
              <w:jc w:val="center"/>
            </w:pPr>
            <w:r>
              <w:rPr>
                <w:sz w:val="20"/>
              </w:rPr>
              <w:t xml:space="preserve">12</w:t>
            </w:r>
          </w:p>
        </w:tc>
        <w:tc>
          <w:tcPr>
            <w:tcW w:w="849" w:type="dxa"/>
          </w:tcPr>
          <w:p>
            <w:pPr>
              <w:pStyle w:val="0"/>
              <w:jc w:val="center"/>
            </w:pPr>
            <w:r>
              <w:rPr>
                <w:sz w:val="20"/>
              </w:rPr>
              <w:t xml:space="preserve">14</w:t>
            </w:r>
          </w:p>
        </w:tc>
        <w:tc>
          <w:tcPr>
            <w:tcW w:w="849" w:type="dxa"/>
          </w:tcPr>
          <w:p>
            <w:pPr>
              <w:pStyle w:val="0"/>
              <w:jc w:val="center"/>
            </w:pPr>
            <w:r>
              <w:rPr>
                <w:sz w:val="20"/>
              </w:rPr>
              <w:t xml:space="preserve">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551" w:type="dxa"/>
          </w:tcPr>
          <w:p>
            <w:pPr>
              <w:pStyle w:val="0"/>
            </w:pPr>
            <w:r>
              <w:rPr>
                <w:sz w:val="20"/>
              </w:rPr>
              <w:t xml:space="preserve">Доля городов с благоприятной городской средой от общего количества городов</w:t>
            </w:r>
          </w:p>
        </w:tc>
        <w:tc>
          <w:tcPr>
            <w:tcW w:w="850" w:type="dxa"/>
          </w:tcPr>
          <w:p>
            <w:pPr>
              <w:pStyle w:val="0"/>
            </w:pPr>
            <w:r>
              <w:rPr>
                <w:sz w:val="20"/>
              </w:rPr>
              <w:t xml:space="preserve">%</w:t>
            </w:r>
          </w:p>
        </w:tc>
        <w:tc>
          <w:tcPr>
            <w:tcW w:w="851" w:type="dxa"/>
          </w:tcPr>
          <w:p>
            <w:pPr>
              <w:pStyle w:val="0"/>
              <w:jc w:val="center"/>
            </w:pPr>
            <w:r>
              <w:rPr>
                <w:sz w:val="20"/>
              </w:rPr>
              <w:t xml:space="preserve">52</w:t>
            </w:r>
          </w:p>
        </w:tc>
        <w:tc>
          <w:tcPr>
            <w:tcW w:w="849" w:type="dxa"/>
          </w:tcPr>
          <w:p>
            <w:pPr>
              <w:pStyle w:val="0"/>
              <w:jc w:val="center"/>
            </w:pPr>
            <w:r>
              <w:rPr>
                <w:sz w:val="20"/>
              </w:rPr>
              <w:t xml:space="preserve">61</w:t>
            </w:r>
          </w:p>
        </w:tc>
        <w:tc>
          <w:tcPr>
            <w:tcW w:w="849" w:type="dxa"/>
          </w:tcPr>
          <w:p>
            <w:pPr>
              <w:pStyle w:val="0"/>
              <w:jc w:val="center"/>
            </w:pPr>
            <w:r>
              <w:rPr>
                <w:sz w:val="20"/>
              </w:rPr>
              <w:t xml:space="preserve">0</w:t>
            </w:r>
          </w:p>
        </w:tc>
      </w:tr>
      <w:tr>
        <w:tc>
          <w:tcPr>
            <w:tcW w:w="567" w:type="dxa"/>
            <w:tcBorders>
              <w:top w:val="nil"/>
              <w:bottom w:val="nil"/>
            </w:tcBorders>
            <w:vMerge w:val="restart"/>
          </w:tcPr>
          <w:p>
            <w:pPr>
              <w:pStyle w:val="0"/>
            </w:pPr>
            <w:r>
              <w:rPr>
                <w:sz w:val="20"/>
              </w:rPr>
            </w:r>
          </w:p>
        </w:tc>
        <w:tc>
          <w:tcPr>
            <w:tcW w:w="2835" w:type="dxa"/>
            <w:tcBorders>
              <w:top w:val="nil"/>
              <w:bottom w:val="nil"/>
            </w:tcBorders>
            <w:vMerge w:val="restart"/>
          </w:tcPr>
          <w:p>
            <w:pPr>
              <w:pStyle w:val="0"/>
            </w:pPr>
            <w:r>
              <w:rPr>
                <w:sz w:val="20"/>
              </w:rPr>
            </w:r>
          </w:p>
        </w:tc>
        <w:tc>
          <w:tcPr>
            <w:tcW w:w="2268" w:type="dxa"/>
            <w:tcBorders>
              <w:top w:val="nil"/>
              <w:bottom w:val="nil"/>
            </w:tcBorders>
            <w:vMerge w:val="restart"/>
          </w:tcPr>
          <w:p>
            <w:pPr>
              <w:pStyle w:val="0"/>
            </w:pPr>
            <w:r>
              <w:rPr>
                <w:sz w:val="20"/>
              </w:rPr>
            </w:r>
          </w:p>
        </w:tc>
        <w:tc>
          <w:tcPr>
            <w:tcW w:w="1984" w:type="dxa"/>
            <w:tcBorders>
              <w:top w:val="nil"/>
              <w:bottom w:val="nil"/>
            </w:tcBorders>
            <w:vMerge w:val="restart"/>
          </w:tcPr>
          <w:p>
            <w:pPr>
              <w:pStyle w:val="0"/>
            </w:pPr>
            <w:r>
              <w:rPr>
                <w:sz w:val="20"/>
              </w:rPr>
            </w:r>
          </w:p>
        </w:tc>
        <w:tc>
          <w:tcPr>
            <w:tcW w:w="2551" w:type="dxa"/>
          </w:tcPr>
          <w:p>
            <w:pPr>
              <w:pStyle w:val="0"/>
            </w:pPr>
            <w:r>
              <w:rPr>
                <w:sz w:val="20"/>
              </w:rPr>
              <w:t xml:space="preserve">Прирост среднего индекса качества городской среды по отношению к 2019 году</w:t>
            </w:r>
          </w:p>
        </w:tc>
        <w:tc>
          <w:tcPr>
            <w:tcW w:w="850" w:type="dxa"/>
          </w:tcPr>
          <w:p>
            <w:pPr>
              <w:pStyle w:val="0"/>
            </w:pPr>
            <w:r>
              <w:rPr>
                <w:sz w:val="20"/>
              </w:rPr>
              <w:t xml:space="preserve">%</w:t>
            </w:r>
          </w:p>
        </w:tc>
        <w:tc>
          <w:tcPr>
            <w:tcW w:w="851" w:type="dxa"/>
          </w:tcPr>
          <w:p>
            <w:pPr>
              <w:pStyle w:val="0"/>
              <w:jc w:val="center"/>
            </w:pPr>
            <w:r>
              <w:rPr>
                <w:sz w:val="20"/>
              </w:rPr>
              <w:t xml:space="preserve">18</w:t>
            </w:r>
          </w:p>
        </w:tc>
        <w:tc>
          <w:tcPr>
            <w:tcW w:w="849" w:type="dxa"/>
          </w:tcPr>
          <w:p>
            <w:pPr>
              <w:pStyle w:val="0"/>
              <w:jc w:val="center"/>
            </w:pPr>
            <w:r>
              <w:rPr>
                <w:sz w:val="20"/>
              </w:rPr>
              <w:t xml:space="preserve">23</w:t>
            </w:r>
          </w:p>
        </w:tc>
        <w:tc>
          <w:tcPr>
            <w:tcW w:w="849" w:type="dxa"/>
          </w:tcPr>
          <w:p>
            <w:pPr>
              <w:pStyle w:val="0"/>
              <w:jc w:val="center"/>
            </w:pPr>
            <w:r>
              <w:rPr>
                <w:sz w:val="20"/>
              </w:rPr>
              <w:t xml:space="preserve">0</w:t>
            </w:r>
          </w:p>
        </w:tc>
      </w:tr>
      <w:tr>
        <w:tc>
          <w:tcPr>
            <w:tcBorders>
              <w:top w:val="nil"/>
              <w:bottom w:val="nil"/>
            </w:tcBorders>
            <w:vMerge w:val="continue"/>
          </w:tcPr>
          <w:p/>
        </w:tc>
        <w:tc>
          <w:tcPr>
            <w:tcBorders>
              <w:top w:val="nil"/>
              <w:bottom w:val="nil"/>
            </w:tcBorders>
            <w:vMerge w:val="continue"/>
          </w:tcPr>
          <w:p/>
        </w:tc>
        <w:tc>
          <w:tcPr>
            <w:tcBorders>
              <w:top w:val="nil"/>
              <w:bottom w:val="nil"/>
            </w:tcBorders>
            <w:vMerge w:val="continue"/>
          </w:tcPr>
          <w:p/>
        </w:tc>
        <w:tc>
          <w:tcPr>
            <w:tcBorders>
              <w:top w:val="nil"/>
              <w:bottom w:val="nil"/>
            </w:tcBorders>
            <w:vMerge w:val="continue"/>
          </w:tcPr>
          <w:p/>
        </w:tc>
        <w:tc>
          <w:tcPr>
            <w:tcW w:w="2551" w:type="dxa"/>
          </w:tcPr>
          <w:p>
            <w:pPr>
              <w:pStyle w:val="0"/>
            </w:pPr>
            <w:r>
              <w:rPr>
                <w:sz w:val="20"/>
              </w:rPr>
              <w:t xml:space="preserve">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tc>
        <w:tc>
          <w:tcPr>
            <w:tcW w:w="850" w:type="dxa"/>
          </w:tcPr>
          <w:p>
            <w:pPr>
              <w:pStyle w:val="0"/>
            </w:pPr>
            <w:r>
              <w:rPr>
                <w:sz w:val="20"/>
              </w:rPr>
              <w:t xml:space="preserve">%</w:t>
            </w:r>
          </w:p>
        </w:tc>
        <w:tc>
          <w:tcPr>
            <w:tcW w:w="851" w:type="dxa"/>
          </w:tcPr>
          <w:p>
            <w:pPr>
              <w:pStyle w:val="0"/>
              <w:jc w:val="center"/>
            </w:pPr>
            <w:r>
              <w:rPr>
                <w:sz w:val="20"/>
              </w:rPr>
              <w:t xml:space="preserve">25</w:t>
            </w:r>
          </w:p>
        </w:tc>
        <w:tc>
          <w:tcPr>
            <w:tcW w:w="849" w:type="dxa"/>
          </w:tcPr>
          <w:p>
            <w:pPr>
              <w:pStyle w:val="0"/>
              <w:jc w:val="center"/>
            </w:pPr>
            <w:r>
              <w:rPr>
                <w:sz w:val="20"/>
              </w:rPr>
              <w:t xml:space="preserve">30</w:t>
            </w:r>
          </w:p>
        </w:tc>
        <w:tc>
          <w:tcPr>
            <w:tcW w:w="849" w:type="dxa"/>
          </w:tcPr>
          <w:p>
            <w:pPr>
              <w:pStyle w:val="0"/>
              <w:jc w:val="center"/>
            </w:pPr>
            <w:r>
              <w:rPr>
                <w:sz w:val="20"/>
              </w:rPr>
              <w:t xml:space="preserve">0</w:t>
            </w:r>
          </w:p>
        </w:tc>
      </w:tr>
      <w:tr>
        <w:tc>
          <w:tcPr>
            <w:tcW w:w="567" w:type="dxa"/>
            <w:tcBorders>
              <w:top w:val="nil"/>
            </w:tcBorders>
            <w:vMerge w:val="restart"/>
          </w:tcPr>
          <w:p>
            <w:pPr>
              <w:pStyle w:val="0"/>
            </w:pPr>
            <w:r>
              <w:rPr>
                <w:sz w:val="20"/>
              </w:rPr>
            </w:r>
          </w:p>
        </w:tc>
        <w:tc>
          <w:tcPr>
            <w:tcW w:w="2835" w:type="dxa"/>
            <w:tcBorders>
              <w:top w:val="nil"/>
            </w:tcBorders>
            <w:vMerge w:val="restart"/>
          </w:tcPr>
          <w:p>
            <w:pPr>
              <w:pStyle w:val="0"/>
            </w:pPr>
            <w:r>
              <w:rPr>
                <w:sz w:val="20"/>
              </w:rPr>
            </w:r>
          </w:p>
        </w:tc>
        <w:tc>
          <w:tcPr>
            <w:tcW w:w="2268" w:type="dxa"/>
            <w:tcBorders>
              <w:top w:val="nil"/>
            </w:tcBorders>
            <w:vMerge w:val="restart"/>
          </w:tcPr>
          <w:p>
            <w:pPr>
              <w:pStyle w:val="0"/>
            </w:pPr>
            <w:r>
              <w:rPr>
                <w:sz w:val="20"/>
              </w:rPr>
            </w:r>
          </w:p>
        </w:tc>
        <w:tc>
          <w:tcPr>
            <w:tcW w:w="1984" w:type="dxa"/>
            <w:tcBorders>
              <w:top w:val="nil"/>
            </w:tcBorders>
            <w:vMerge w:val="restart"/>
          </w:tcPr>
          <w:p>
            <w:pPr>
              <w:pStyle w:val="0"/>
            </w:pPr>
            <w:r>
              <w:rPr>
                <w:sz w:val="20"/>
              </w:rPr>
            </w:r>
          </w:p>
        </w:tc>
        <w:tc>
          <w:tcPr>
            <w:tcW w:w="2551" w:type="dxa"/>
          </w:tcPr>
          <w:p>
            <w:pPr>
              <w:pStyle w:val="0"/>
            </w:pPr>
            <w:r>
              <w:rPr>
                <w:sz w:val="20"/>
              </w:rPr>
              <w:t xml:space="preserve">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w:t>
            </w:r>
          </w:p>
        </w:tc>
        <w:tc>
          <w:tcPr>
            <w:tcW w:w="850" w:type="dxa"/>
          </w:tcPr>
          <w:p>
            <w:pPr>
              <w:pStyle w:val="0"/>
            </w:pPr>
            <w:r>
              <w:rPr>
                <w:sz w:val="20"/>
              </w:rPr>
              <w:t xml:space="preserve">%</w:t>
            </w:r>
          </w:p>
        </w:tc>
        <w:tc>
          <w:tcPr>
            <w:tcW w:w="851" w:type="dxa"/>
          </w:tcPr>
          <w:p>
            <w:pPr>
              <w:pStyle w:val="0"/>
              <w:jc w:val="center"/>
            </w:pPr>
            <w:r>
              <w:rPr>
                <w:sz w:val="20"/>
              </w:rPr>
              <w:t xml:space="preserve">90</w:t>
            </w:r>
          </w:p>
        </w:tc>
        <w:tc>
          <w:tcPr>
            <w:tcW w:w="849" w:type="dxa"/>
          </w:tcPr>
          <w:p>
            <w:pPr>
              <w:pStyle w:val="0"/>
              <w:jc w:val="center"/>
            </w:pPr>
            <w:r>
              <w:rPr>
                <w:sz w:val="20"/>
              </w:rPr>
              <w:t xml:space="preserve">90</w:t>
            </w:r>
          </w:p>
        </w:tc>
        <w:tc>
          <w:tcPr>
            <w:tcW w:w="849" w:type="dxa"/>
          </w:tcPr>
          <w:p>
            <w:pPr>
              <w:pStyle w:val="0"/>
              <w:jc w:val="center"/>
            </w:pPr>
            <w:r>
              <w:rPr>
                <w:sz w:val="20"/>
              </w:rPr>
              <w:t xml:space="preserve">0</w:t>
            </w:r>
          </w:p>
        </w:tc>
      </w:tr>
      <w:tr>
        <w:tc>
          <w:tcPr>
            <w:tcBorders>
              <w:top w:val="nil"/>
            </w:tcBorders>
            <w:vMerge w:val="continue"/>
          </w:tcPr>
          <w:p/>
        </w:tc>
        <w:tc>
          <w:tcPr>
            <w:tcBorders>
              <w:top w:val="nil"/>
            </w:tcBorders>
            <w:vMerge w:val="continue"/>
          </w:tcPr>
          <w:p/>
        </w:tc>
        <w:tc>
          <w:tcPr>
            <w:tcBorders>
              <w:top w:val="nil"/>
            </w:tcBorders>
            <w:vMerge w:val="continue"/>
          </w:tcPr>
          <w:p/>
        </w:tc>
        <w:tc>
          <w:tcPr>
            <w:tcBorders>
              <w:top w:val="nil"/>
            </w:tcBorders>
            <w:vMerge w:val="continue"/>
          </w:tcPr>
          <w:p/>
        </w:tc>
        <w:tc>
          <w:tcPr>
            <w:tcW w:w="2551" w:type="dxa"/>
          </w:tcPr>
          <w:p>
            <w:pPr>
              <w:pStyle w:val="0"/>
            </w:pPr>
            <w:r>
              <w:rPr>
                <w:sz w:val="20"/>
              </w:rPr>
              <w:t xml:space="preserve">Реализованы проекты победителей Всероссийского конкурса лучших проектов создания комфортной городской среды в малых городах и исторических поселениях</w:t>
            </w:r>
          </w:p>
        </w:tc>
        <w:tc>
          <w:tcPr>
            <w:tcW w:w="850" w:type="dxa"/>
          </w:tcPr>
          <w:p>
            <w:pPr>
              <w:pStyle w:val="0"/>
            </w:pPr>
            <w:r>
              <w:rPr>
                <w:sz w:val="20"/>
              </w:rPr>
              <w:t xml:space="preserve">ед.</w:t>
            </w:r>
          </w:p>
        </w:tc>
        <w:tc>
          <w:tcPr>
            <w:tcW w:w="851" w:type="dxa"/>
          </w:tcPr>
          <w:p>
            <w:pPr>
              <w:pStyle w:val="0"/>
              <w:jc w:val="center"/>
            </w:pPr>
            <w:r>
              <w:rPr>
                <w:sz w:val="20"/>
              </w:rPr>
              <w:t xml:space="preserve">2</w:t>
            </w:r>
          </w:p>
        </w:tc>
        <w:tc>
          <w:tcPr>
            <w:tcW w:w="849" w:type="dxa"/>
          </w:tcPr>
          <w:p>
            <w:pPr>
              <w:pStyle w:val="0"/>
              <w:jc w:val="center"/>
            </w:pPr>
            <w:r>
              <w:rPr>
                <w:sz w:val="20"/>
              </w:rPr>
              <w:t xml:space="preserve">0</w:t>
            </w:r>
          </w:p>
        </w:tc>
        <w:tc>
          <w:tcPr>
            <w:tcW w:w="849" w:type="dxa"/>
          </w:tcPr>
          <w:p>
            <w:pPr>
              <w:pStyle w:val="0"/>
              <w:jc w:val="center"/>
            </w:pPr>
            <w:r>
              <w:rPr>
                <w:sz w:val="20"/>
              </w:rPr>
              <w:t xml:space="preserve">0</w:t>
            </w:r>
          </w:p>
        </w:tc>
      </w:tr>
      <w:tr>
        <w:tc>
          <w:tcPr>
            <w:tcW w:w="567" w:type="dxa"/>
            <w:vMerge w:val="restart"/>
          </w:tcPr>
          <w:p>
            <w:pPr>
              <w:pStyle w:val="0"/>
              <w:jc w:val="center"/>
            </w:pPr>
            <w:r>
              <w:rPr>
                <w:sz w:val="20"/>
              </w:rPr>
              <w:t xml:space="preserve">58.</w:t>
            </w:r>
          </w:p>
        </w:tc>
        <w:tc>
          <w:tcPr>
            <w:tcW w:w="2835" w:type="dxa"/>
            <w:vMerge w:val="restart"/>
          </w:tcPr>
          <w:p>
            <w:pPr>
              <w:pStyle w:val="0"/>
            </w:pPr>
            <w:r>
              <w:rPr>
                <w:sz w:val="20"/>
              </w:rPr>
              <w:t xml:space="preserve">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2268" w:type="dxa"/>
            <w:vMerge w:val="restart"/>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Площадь расселяемого аварийного жилищного фонда</w:t>
            </w:r>
          </w:p>
        </w:tc>
        <w:tc>
          <w:tcPr>
            <w:tcW w:w="850" w:type="dxa"/>
          </w:tcPr>
          <w:p>
            <w:pPr>
              <w:pStyle w:val="0"/>
            </w:pPr>
            <w:r>
              <w:rPr>
                <w:sz w:val="20"/>
              </w:rPr>
              <w:t xml:space="preserve">тыс. кв. м</w:t>
            </w:r>
          </w:p>
        </w:tc>
        <w:tc>
          <w:tcPr>
            <w:tcW w:w="851" w:type="dxa"/>
          </w:tcPr>
          <w:p>
            <w:pPr>
              <w:pStyle w:val="0"/>
              <w:jc w:val="center"/>
            </w:pPr>
            <w:r>
              <w:rPr>
                <w:sz w:val="20"/>
              </w:rPr>
              <w:t xml:space="preserve">46,32</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граждан, проживающих в аварийном жилищном фонде</w:t>
            </w:r>
          </w:p>
        </w:tc>
        <w:tc>
          <w:tcPr>
            <w:tcW w:w="850" w:type="dxa"/>
          </w:tcPr>
          <w:p>
            <w:pPr>
              <w:pStyle w:val="0"/>
            </w:pPr>
            <w:r>
              <w:rPr>
                <w:sz w:val="20"/>
              </w:rPr>
              <w:t xml:space="preserve">чел.</w:t>
            </w:r>
          </w:p>
        </w:tc>
        <w:tc>
          <w:tcPr>
            <w:tcW w:w="851" w:type="dxa"/>
          </w:tcPr>
          <w:p>
            <w:pPr>
              <w:pStyle w:val="0"/>
              <w:jc w:val="center"/>
            </w:pPr>
            <w:r>
              <w:rPr>
                <w:sz w:val="20"/>
              </w:rPr>
              <w:t xml:space="preserve">2870</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vMerge w:val="restart"/>
          </w:tcPr>
          <w:p>
            <w:pPr>
              <w:pStyle w:val="0"/>
              <w:jc w:val="center"/>
            </w:pPr>
            <w:r>
              <w:rPr>
                <w:sz w:val="20"/>
              </w:rPr>
              <w:t xml:space="preserve">59.</w:t>
            </w:r>
          </w:p>
        </w:tc>
        <w:tc>
          <w:tcPr>
            <w:tcW w:w="2835" w:type="dxa"/>
            <w:vMerge w:val="restart"/>
          </w:tcPr>
          <w:p>
            <w:pPr>
              <w:pStyle w:val="0"/>
            </w:pPr>
            <w:r>
              <w:rPr>
                <w:sz w:val="20"/>
              </w:rPr>
              <w:t xml:space="preserve">Строительство и реконструкция (модернизация) объектов питьевого водоснабжения</w:t>
            </w:r>
          </w:p>
        </w:tc>
        <w:tc>
          <w:tcPr>
            <w:tcW w:w="2268"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Доля населения Владимирской области, обеспеченного качественной питьевой водой из систем централизованного водоснабжения</w:t>
            </w:r>
          </w:p>
        </w:tc>
        <w:tc>
          <w:tcPr>
            <w:tcW w:w="850" w:type="dxa"/>
          </w:tcPr>
          <w:p>
            <w:pPr>
              <w:pStyle w:val="0"/>
            </w:pPr>
            <w:r>
              <w:rPr>
                <w:sz w:val="20"/>
              </w:rPr>
              <w:t xml:space="preserve">%</w:t>
            </w:r>
          </w:p>
        </w:tc>
        <w:tc>
          <w:tcPr>
            <w:tcW w:w="851" w:type="dxa"/>
          </w:tcPr>
          <w:p>
            <w:pPr>
              <w:pStyle w:val="0"/>
              <w:jc w:val="center"/>
            </w:pPr>
            <w:r>
              <w:rPr>
                <w:sz w:val="20"/>
              </w:rPr>
              <w:t xml:space="preserve">91,7</w:t>
            </w:r>
          </w:p>
        </w:tc>
        <w:tc>
          <w:tcPr>
            <w:tcW w:w="849" w:type="dxa"/>
          </w:tcPr>
          <w:p>
            <w:pPr>
              <w:pStyle w:val="0"/>
              <w:jc w:val="center"/>
            </w:pPr>
            <w:r>
              <w:rPr>
                <w:sz w:val="20"/>
              </w:rPr>
              <w:t xml:space="preserve">94,5</w:t>
            </w:r>
          </w:p>
        </w:tc>
        <w:tc>
          <w:tcPr>
            <w:tcW w:w="849" w:type="dxa"/>
          </w:tcPr>
          <w:p>
            <w:pPr>
              <w:pStyle w:val="0"/>
              <w:jc w:val="center"/>
            </w:pPr>
            <w:r>
              <w:rPr>
                <w:sz w:val="20"/>
              </w:rPr>
              <w:t xml:space="preserve">94,5</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Доля городского населения Владимирской области, обеспеченного качественной питьевой водой из систем централизованного водоснабжения</w:t>
            </w:r>
          </w:p>
        </w:tc>
        <w:tc>
          <w:tcPr>
            <w:tcW w:w="850" w:type="dxa"/>
          </w:tcPr>
          <w:p>
            <w:pPr>
              <w:pStyle w:val="0"/>
            </w:pPr>
            <w:r>
              <w:rPr>
                <w:sz w:val="20"/>
              </w:rPr>
              <w:t xml:space="preserve">%</w:t>
            </w:r>
          </w:p>
        </w:tc>
        <w:tc>
          <w:tcPr>
            <w:tcW w:w="851" w:type="dxa"/>
          </w:tcPr>
          <w:p>
            <w:pPr>
              <w:pStyle w:val="0"/>
              <w:jc w:val="center"/>
            </w:pPr>
            <w:r>
              <w:rPr>
                <w:sz w:val="20"/>
              </w:rPr>
              <w:t xml:space="preserve">99,5</w:t>
            </w:r>
          </w:p>
        </w:tc>
        <w:tc>
          <w:tcPr>
            <w:tcW w:w="849" w:type="dxa"/>
          </w:tcPr>
          <w:p>
            <w:pPr>
              <w:pStyle w:val="0"/>
              <w:jc w:val="center"/>
            </w:pPr>
            <w:r>
              <w:rPr>
                <w:sz w:val="20"/>
              </w:rPr>
              <w:t xml:space="preserve">99,5</w:t>
            </w:r>
          </w:p>
        </w:tc>
        <w:tc>
          <w:tcPr>
            <w:tcW w:w="849" w:type="dxa"/>
          </w:tcPr>
          <w:p>
            <w:pPr>
              <w:pStyle w:val="0"/>
              <w:jc w:val="center"/>
            </w:pPr>
            <w:r>
              <w:rPr>
                <w:sz w:val="20"/>
              </w:rPr>
              <w:t xml:space="preserve">99,5</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w:t>
            </w:r>
          </w:p>
        </w:tc>
        <w:tc>
          <w:tcPr>
            <w:tcW w:w="850" w:type="dxa"/>
          </w:tcPr>
          <w:p>
            <w:pPr>
              <w:pStyle w:val="0"/>
            </w:pPr>
            <w:r>
              <w:rPr>
                <w:sz w:val="20"/>
              </w:rPr>
              <w:t xml:space="preserve">шт.</w:t>
            </w:r>
          </w:p>
        </w:tc>
        <w:tc>
          <w:tcPr>
            <w:tcW w:w="851" w:type="dxa"/>
          </w:tcPr>
          <w:p>
            <w:pPr>
              <w:pStyle w:val="0"/>
              <w:jc w:val="center"/>
            </w:pPr>
            <w:r>
              <w:rPr>
                <w:sz w:val="20"/>
              </w:rPr>
              <w:t xml:space="preserve">26</w:t>
            </w:r>
          </w:p>
        </w:tc>
        <w:tc>
          <w:tcPr>
            <w:tcW w:w="849" w:type="dxa"/>
          </w:tcPr>
          <w:p>
            <w:pPr>
              <w:pStyle w:val="0"/>
              <w:jc w:val="center"/>
            </w:pPr>
            <w:r>
              <w:rPr>
                <w:sz w:val="20"/>
              </w:rPr>
              <w:t xml:space="preserve">30</w:t>
            </w:r>
          </w:p>
        </w:tc>
        <w:tc>
          <w:tcPr>
            <w:tcW w:w="849" w:type="dxa"/>
          </w:tcPr>
          <w:p>
            <w:pPr>
              <w:pStyle w:val="0"/>
              <w:jc w:val="center"/>
            </w:pPr>
            <w:r>
              <w:rPr>
                <w:sz w:val="20"/>
              </w:rPr>
              <w:t xml:space="preserve">30</w:t>
            </w:r>
          </w:p>
        </w:tc>
      </w:tr>
      <w:tr>
        <w:tc>
          <w:tcPr>
            <w:tcW w:w="567" w:type="dxa"/>
            <w:vMerge w:val="restart"/>
          </w:tcPr>
          <w:p>
            <w:pPr>
              <w:pStyle w:val="0"/>
              <w:jc w:val="center"/>
            </w:pPr>
            <w:r>
              <w:rPr>
                <w:sz w:val="20"/>
              </w:rPr>
              <w:t xml:space="preserve">60.</w:t>
            </w:r>
          </w:p>
        </w:tc>
        <w:tc>
          <w:tcPr>
            <w:tcW w:w="2835" w:type="dxa"/>
            <w:vMerge w:val="restart"/>
          </w:tcPr>
          <w:p>
            <w:pPr>
              <w:pStyle w:val="0"/>
            </w:pPr>
            <w:r>
              <w:rPr>
                <w:sz w:val="20"/>
              </w:rPr>
              <w:t xml:space="preserve">Строительство, реконструкция и модернизации систем (объектов) теплоснабжения, водоснабжения, водоотведения и очистки сточных вод и обеспечение бесперебойного предоставления коммунальных услуг</w:t>
            </w:r>
          </w:p>
        </w:tc>
        <w:tc>
          <w:tcPr>
            <w:tcW w:w="2268"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построенных, реконструированных (модернизированных) сетей теплоснабжения, водоснабжения и водоотведения, нарастающим итогом</w:t>
            </w:r>
          </w:p>
        </w:tc>
        <w:tc>
          <w:tcPr>
            <w:tcW w:w="850" w:type="dxa"/>
          </w:tcPr>
          <w:p>
            <w:pPr>
              <w:pStyle w:val="0"/>
            </w:pPr>
            <w:r>
              <w:rPr>
                <w:sz w:val="20"/>
              </w:rPr>
              <w:t xml:space="preserve">ед.</w:t>
            </w:r>
          </w:p>
        </w:tc>
        <w:tc>
          <w:tcPr>
            <w:tcW w:w="851" w:type="dxa"/>
          </w:tcPr>
          <w:p>
            <w:pPr>
              <w:pStyle w:val="0"/>
              <w:jc w:val="center"/>
            </w:pPr>
            <w:r>
              <w:rPr>
                <w:sz w:val="20"/>
              </w:rPr>
              <w:t xml:space="preserve">165,0</w:t>
            </w:r>
          </w:p>
        </w:tc>
        <w:tc>
          <w:tcPr>
            <w:tcW w:w="849" w:type="dxa"/>
          </w:tcPr>
          <w:p>
            <w:pPr>
              <w:pStyle w:val="0"/>
              <w:jc w:val="center"/>
            </w:pPr>
            <w:r>
              <w:rPr>
                <w:sz w:val="20"/>
              </w:rPr>
              <w:t xml:space="preserve">168,4</w:t>
            </w:r>
          </w:p>
        </w:tc>
        <w:tc>
          <w:tcPr>
            <w:tcW w:w="849" w:type="dxa"/>
          </w:tcPr>
          <w:p>
            <w:pPr>
              <w:pStyle w:val="0"/>
              <w:jc w:val="center"/>
            </w:pPr>
            <w:r>
              <w:rPr>
                <w:sz w:val="20"/>
              </w:rPr>
              <w:t xml:space="preserve">174,0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построенных, реконструированных (модернизированных) объектов теплоснабжения, водоснабжения, водоотведения и очистки сточных вод, нарастающим итогом</w:t>
            </w:r>
          </w:p>
        </w:tc>
        <w:tc>
          <w:tcPr>
            <w:tcW w:w="850" w:type="dxa"/>
          </w:tcPr>
          <w:p>
            <w:pPr>
              <w:pStyle w:val="0"/>
            </w:pPr>
            <w:r>
              <w:rPr>
                <w:sz w:val="20"/>
              </w:rPr>
              <w:t xml:space="preserve">ед.</w:t>
            </w:r>
          </w:p>
        </w:tc>
        <w:tc>
          <w:tcPr>
            <w:tcW w:w="851" w:type="dxa"/>
          </w:tcPr>
          <w:p>
            <w:pPr>
              <w:pStyle w:val="0"/>
              <w:jc w:val="center"/>
            </w:pPr>
            <w:r>
              <w:rPr>
                <w:sz w:val="20"/>
              </w:rPr>
              <w:t xml:space="preserve">37</w:t>
            </w:r>
          </w:p>
        </w:tc>
        <w:tc>
          <w:tcPr>
            <w:tcW w:w="849" w:type="dxa"/>
          </w:tcPr>
          <w:p>
            <w:pPr>
              <w:pStyle w:val="0"/>
              <w:jc w:val="center"/>
            </w:pPr>
            <w:r>
              <w:rPr>
                <w:sz w:val="20"/>
              </w:rPr>
              <w:t xml:space="preserve">41</w:t>
            </w:r>
          </w:p>
        </w:tc>
        <w:tc>
          <w:tcPr>
            <w:tcW w:w="849" w:type="dxa"/>
          </w:tcPr>
          <w:p>
            <w:pPr>
              <w:pStyle w:val="0"/>
              <w:jc w:val="center"/>
            </w:pPr>
            <w:r>
              <w:rPr>
                <w:sz w:val="20"/>
              </w:rPr>
              <w:t xml:space="preserve">43</w:t>
            </w:r>
          </w:p>
        </w:tc>
      </w:tr>
      <w:tr>
        <w:tc>
          <w:tcPr>
            <w:tcW w:w="567" w:type="dxa"/>
            <w:vMerge w:val="restart"/>
          </w:tcPr>
          <w:p>
            <w:pPr>
              <w:pStyle w:val="0"/>
              <w:jc w:val="center"/>
            </w:pPr>
            <w:r>
              <w:rPr>
                <w:sz w:val="20"/>
              </w:rPr>
              <w:t xml:space="preserve">61.</w:t>
            </w:r>
          </w:p>
        </w:tc>
        <w:tc>
          <w:tcPr>
            <w:tcW w:w="2835" w:type="dxa"/>
            <w:vMerge w:val="restart"/>
          </w:tcPr>
          <w:p>
            <w:pPr>
              <w:pStyle w:val="0"/>
            </w:pPr>
            <w:r>
              <w:rPr>
                <w:sz w:val="20"/>
              </w:rPr>
              <w:t xml:space="preserve">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2268"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построенных блочно-модульных котельных в г. Александрове (ежегодно)</w:t>
            </w:r>
          </w:p>
        </w:tc>
        <w:tc>
          <w:tcPr>
            <w:tcW w:w="850" w:type="dxa"/>
          </w:tcPr>
          <w:p>
            <w:pPr>
              <w:pStyle w:val="0"/>
            </w:pPr>
            <w:r>
              <w:rPr>
                <w:sz w:val="20"/>
              </w:rPr>
              <w:t xml:space="preserve">ед.</w:t>
            </w:r>
          </w:p>
        </w:tc>
        <w:tc>
          <w:tcPr>
            <w:tcW w:w="851" w:type="dxa"/>
          </w:tcPr>
          <w:p>
            <w:pPr>
              <w:pStyle w:val="0"/>
              <w:jc w:val="center"/>
            </w:pPr>
            <w:r>
              <w:rPr>
                <w:sz w:val="20"/>
              </w:rPr>
              <w:t xml:space="preserve">7</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построенных и реконструированных тепловых сетей в г. Александрове (ежегодно)</w:t>
            </w:r>
          </w:p>
        </w:tc>
        <w:tc>
          <w:tcPr>
            <w:tcW w:w="850" w:type="dxa"/>
          </w:tcPr>
          <w:p>
            <w:pPr>
              <w:pStyle w:val="0"/>
            </w:pPr>
            <w:r>
              <w:rPr>
                <w:sz w:val="20"/>
              </w:rPr>
              <w:t xml:space="preserve">ед.</w:t>
            </w:r>
          </w:p>
        </w:tc>
        <w:tc>
          <w:tcPr>
            <w:tcW w:w="851" w:type="dxa"/>
          </w:tcPr>
          <w:p>
            <w:pPr>
              <w:pStyle w:val="0"/>
              <w:jc w:val="center"/>
            </w:pPr>
            <w:r>
              <w:rPr>
                <w:sz w:val="20"/>
              </w:rPr>
              <w:t xml:space="preserve">15,9</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vMerge w:val="restart"/>
          </w:tcPr>
          <w:p>
            <w:pPr>
              <w:pStyle w:val="0"/>
              <w:jc w:val="center"/>
            </w:pPr>
            <w:r>
              <w:rPr>
                <w:sz w:val="20"/>
              </w:rPr>
              <w:t xml:space="preserve">62.</w:t>
            </w:r>
          </w:p>
        </w:tc>
        <w:tc>
          <w:tcPr>
            <w:tcW w:w="2835" w:type="dxa"/>
            <w:vMerge w:val="restart"/>
          </w:tcPr>
          <w:p>
            <w:pPr>
              <w:pStyle w:val="0"/>
            </w:pPr>
            <w:r>
              <w:rPr>
                <w:sz w:val="20"/>
              </w:rPr>
              <w:t xml:space="preserve">Строительство (реконструкция) газопроводов высокого, среднего, низкого давления и газопроводов-вводов</w:t>
            </w:r>
          </w:p>
        </w:tc>
        <w:tc>
          <w:tcPr>
            <w:tcW w:w="2268" w:type="dxa"/>
            <w:vMerge w:val="restart"/>
          </w:tcPr>
          <w:p>
            <w:pPr>
              <w:pStyle w:val="0"/>
            </w:pPr>
            <w:r>
              <w:rPr>
                <w:sz w:val="20"/>
              </w:rPr>
              <w:t xml:space="preserve">Государственная программа "Развитие газификации и догазификации Владимирской области", региональный проект, не входящий в состав федерального проекта</w:t>
            </w:r>
          </w:p>
        </w:tc>
        <w:tc>
          <w:tcPr>
            <w:tcW w:w="1984" w:type="dxa"/>
            <w:vMerge w:val="restart"/>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Количество населенных пунктов в сельской местности (в том числе сельских населенных пунктах в составе городских населенных пунктов), обеспеченных сетями газоснабжения в рамках государственной программы (ежегодно), не менее</w:t>
            </w:r>
          </w:p>
        </w:tc>
        <w:tc>
          <w:tcPr>
            <w:tcW w:w="850" w:type="dxa"/>
          </w:tcPr>
          <w:p>
            <w:pPr>
              <w:pStyle w:val="0"/>
            </w:pPr>
            <w:r>
              <w:rPr>
                <w:sz w:val="20"/>
              </w:rPr>
              <w:t xml:space="preserve">шт.</w:t>
            </w:r>
          </w:p>
        </w:tc>
        <w:tc>
          <w:tcPr>
            <w:tcW w:w="851" w:type="dxa"/>
          </w:tcPr>
          <w:p>
            <w:pPr>
              <w:pStyle w:val="0"/>
              <w:jc w:val="center"/>
            </w:pPr>
            <w:r>
              <w:rPr>
                <w:sz w:val="20"/>
              </w:rPr>
              <w:t xml:space="preserve">33</w:t>
            </w:r>
          </w:p>
        </w:tc>
        <w:tc>
          <w:tcPr>
            <w:tcW w:w="849" w:type="dxa"/>
          </w:tcPr>
          <w:p>
            <w:pPr>
              <w:pStyle w:val="0"/>
              <w:jc w:val="center"/>
            </w:pPr>
            <w:r>
              <w:rPr>
                <w:sz w:val="20"/>
              </w:rPr>
              <w:t xml:space="preserve">11</w:t>
            </w:r>
          </w:p>
        </w:tc>
        <w:tc>
          <w:tcPr>
            <w:tcW w:w="849" w:type="dxa"/>
          </w:tcPr>
          <w:p>
            <w:pPr>
              <w:pStyle w:val="0"/>
              <w:jc w:val="center"/>
            </w:pPr>
            <w:r>
              <w:rPr>
                <w:sz w:val="20"/>
              </w:rPr>
              <w:t xml:space="preserve">10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домовладений (квартир), планируемых к подключению (технологическому присоединению) к вновь построенным сетям газоснабжения (ежегодно), всего по Владимирской области</w:t>
            </w:r>
          </w:p>
        </w:tc>
        <w:tc>
          <w:tcPr>
            <w:tcW w:w="850" w:type="dxa"/>
          </w:tcPr>
          <w:p>
            <w:pPr>
              <w:pStyle w:val="0"/>
            </w:pPr>
            <w:r>
              <w:rPr>
                <w:sz w:val="20"/>
              </w:rPr>
              <w:t xml:space="preserve">шт.</w:t>
            </w:r>
          </w:p>
        </w:tc>
        <w:tc>
          <w:tcPr>
            <w:tcW w:w="851" w:type="dxa"/>
          </w:tcPr>
          <w:p>
            <w:pPr>
              <w:pStyle w:val="0"/>
              <w:jc w:val="center"/>
            </w:pPr>
            <w:r>
              <w:rPr>
                <w:sz w:val="20"/>
              </w:rPr>
              <w:t xml:space="preserve">4280</w:t>
            </w:r>
          </w:p>
        </w:tc>
        <w:tc>
          <w:tcPr>
            <w:tcW w:w="849" w:type="dxa"/>
          </w:tcPr>
          <w:p>
            <w:pPr>
              <w:pStyle w:val="0"/>
              <w:jc w:val="center"/>
            </w:pPr>
            <w:r>
              <w:rPr>
                <w:sz w:val="20"/>
              </w:rPr>
              <w:t xml:space="preserve">6200</w:t>
            </w:r>
          </w:p>
        </w:tc>
        <w:tc>
          <w:tcPr>
            <w:tcW w:w="849" w:type="dxa"/>
          </w:tcPr>
          <w:p>
            <w:pPr>
              <w:pStyle w:val="0"/>
              <w:jc w:val="center"/>
            </w:pPr>
            <w:r>
              <w:rPr>
                <w:sz w:val="20"/>
              </w:rPr>
              <w:t xml:space="preserve">1400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в том числе: сетями газоснабжения, построенным в рамках государственной программы (ежегодно)</w:t>
            </w:r>
          </w:p>
        </w:tc>
        <w:tc>
          <w:tcPr>
            <w:tcW w:w="850" w:type="dxa"/>
          </w:tcPr>
          <w:p>
            <w:pPr>
              <w:pStyle w:val="0"/>
            </w:pPr>
            <w:r>
              <w:rPr>
                <w:sz w:val="20"/>
              </w:rPr>
              <w:t xml:space="preserve">шт.</w:t>
            </w:r>
          </w:p>
        </w:tc>
        <w:tc>
          <w:tcPr>
            <w:tcW w:w="851" w:type="dxa"/>
          </w:tcPr>
          <w:p>
            <w:pPr>
              <w:pStyle w:val="0"/>
              <w:jc w:val="center"/>
            </w:pPr>
            <w:r>
              <w:rPr>
                <w:sz w:val="20"/>
              </w:rPr>
              <w:t xml:space="preserve">1580</w:t>
            </w:r>
          </w:p>
        </w:tc>
        <w:tc>
          <w:tcPr>
            <w:tcW w:w="849" w:type="dxa"/>
          </w:tcPr>
          <w:p>
            <w:pPr>
              <w:pStyle w:val="0"/>
              <w:jc w:val="center"/>
            </w:pPr>
            <w:r>
              <w:rPr>
                <w:sz w:val="20"/>
              </w:rPr>
              <w:t xml:space="preserve">1300</w:t>
            </w:r>
          </w:p>
        </w:tc>
        <w:tc>
          <w:tcPr>
            <w:tcW w:w="849" w:type="dxa"/>
          </w:tcPr>
          <w:p>
            <w:pPr>
              <w:pStyle w:val="0"/>
              <w:jc w:val="center"/>
            </w:pPr>
            <w:r>
              <w:rPr>
                <w:sz w:val="20"/>
              </w:rPr>
              <w:t xml:space="preserve">700</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домовладений (квартир), фактически подключенных к сетям газоснабжения, в течение 1 года после завершения строительства газовых сетей в рамках государственной программы (нарастающим итогом)</w:t>
            </w:r>
          </w:p>
        </w:tc>
        <w:tc>
          <w:tcPr>
            <w:tcW w:w="850" w:type="dxa"/>
          </w:tcPr>
          <w:p>
            <w:pPr>
              <w:pStyle w:val="0"/>
            </w:pPr>
            <w:r>
              <w:rPr>
                <w:sz w:val="20"/>
              </w:rPr>
              <w:t xml:space="preserve">шт.</w:t>
            </w:r>
          </w:p>
        </w:tc>
        <w:tc>
          <w:tcPr>
            <w:tcW w:w="851" w:type="dxa"/>
          </w:tcPr>
          <w:p>
            <w:pPr>
              <w:pStyle w:val="0"/>
              <w:jc w:val="center"/>
            </w:pPr>
            <w:r>
              <w:rPr>
                <w:sz w:val="20"/>
              </w:rPr>
              <w:t xml:space="preserve">2544</w:t>
            </w:r>
          </w:p>
        </w:tc>
        <w:tc>
          <w:tcPr>
            <w:tcW w:w="849" w:type="dxa"/>
          </w:tcPr>
          <w:p>
            <w:pPr>
              <w:pStyle w:val="0"/>
              <w:jc w:val="center"/>
            </w:pPr>
            <w:r>
              <w:rPr>
                <w:sz w:val="20"/>
              </w:rPr>
              <w:t xml:space="preserve">3584</w:t>
            </w:r>
          </w:p>
        </w:tc>
        <w:tc>
          <w:tcPr>
            <w:tcW w:w="849" w:type="dxa"/>
          </w:tcPr>
          <w:p>
            <w:pPr>
              <w:pStyle w:val="0"/>
              <w:jc w:val="center"/>
            </w:pPr>
            <w:r>
              <w:rPr>
                <w:sz w:val="20"/>
              </w:rPr>
              <w:t xml:space="preserve">4000</w:t>
            </w:r>
          </w:p>
        </w:tc>
      </w:tr>
      <w:tr>
        <w:tc>
          <w:tcPr>
            <w:tcW w:w="567" w:type="dxa"/>
          </w:tcPr>
          <w:p>
            <w:pPr>
              <w:pStyle w:val="0"/>
              <w:jc w:val="center"/>
            </w:pPr>
            <w:r>
              <w:rPr>
                <w:sz w:val="20"/>
              </w:rPr>
              <w:t xml:space="preserve">63.</w:t>
            </w:r>
          </w:p>
        </w:tc>
        <w:tc>
          <w:tcPr>
            <w:tcW w:w="2835" w:type="dxa"/>
          </w:tcPr>
          <w:p>
            <w:pPr>
              <w:pStyle w:val="0"/>
            </w:pPr>
            <w:r>
              <w:rPr>
                <w:sz w:val="20"/>
              </w:rPr>
              <w:t xml:space="preserve">Возмещение юридическим лицам, индивидуальным предпринимателям затрат в связи с выполнением работ по подготовке внутридомового газового оборудования частных домовладений (квартир) к приему газа</w:t>
            </w:r>
          </w:p>
        </w:tc>
        <w:tc>
          <w:tcPr>
            <w:tcW w:w="2268" w:type="dxa"/>
          </w:tcPr>
          <w:p>
            <w:pPr>
              <w:pStyle w:val="0"/>
            </w:pPr>
            <w:r>
              <w:rPr>
                <w:sz w:val="20"/>
              </w:rPr>
              <w:t xml:space="preserve">Государственная программа "Развитие газификации и догазификации Владимирской области", региональный проект, не входящий в состав федерального проекта</w:t>
            </w:r>
          </w:p>
        </w:tc>
        <w:tc>
          <w:tcPr>
            <w:tcW w:w="1984" w:type="dxa"/>
          </w:tcPr>
          <w:p>
            <w:pPr>
              <w:pStyle w:val="0"/>
            </w:pPr>
            <w:r>
              <w:rPr>
                <w:sz w:val="20"/>
              </w:rPr>
              <w:t xml:space="preserve">Департамент жилищно-коммунального хозяйства Владимирской области</w:t>
            </w:r>
          </w:p>
        </w:tc>
        <w:tc>
          <w:tcPr>
            <w:tcW w:w="2551" w:type="dxa"/>
          </w:tcPr>
          <w:p>
            <w:pPr>
              <w:pStyle w:val="0"/>
            </w:pPr>
            <w:r>
              <w:rPr>
                <w:sz w:val="20"/>
              </w:rPr>
              <w:t xml:space="preserve">Доля домовладений (квартир), подготовленных к принятию природного газа в рамках государственной программы, в общем количестве домовладений, квартир) нуждающихся в подготовке к приему газа (нарастающим итогом)</w:t>
            </w:r>
          </w:p>
        </w:tc>
        <w:tc>
          <w:tcPr>
            <w:tcW w:w="850" w:type="dxa"/>
          </w:tcPr>
          <w:p>
            <w:pPr>
              <w:pStyle w:val="0"/>
            </w:pPr>
            <w:r>
              <w:rPr>
                <w:sz w:val="20"/>
              </w:rPr>
              <w:t xml:space="preserve">%</w:t>
            </w:r>
          </w:p>
        </w:tc>
        <w:tc>
          <w:tcPr>
            <w:tcW w:w="851" w:type="dxa"/>
          </w:tcPr>
          <w:p>
            <w:pPr>
              <w:pStyle w:val="0"/>
              <w:jc w:val="center"/>
            </w:pPr>
            <w:r>
              <w:rPr>
                <w:sz w:val="20"/>
              </w:rPr>
              <w:t xml:space="preserve">2,4</w:t>
            </w:r>
          </w:p>
        </w:tc>
        <w:tc>
          <w:tcPr>
            <w:tcW w:w="849" w:type="dxa"/>
          </w:tcPr>
          <w:p>
            <w:pPr>
              <w:pStyle w:val="0"/>
              <w:jc w:val="center"/>
            </w:pPr>
            <w:r>
              <w:rPr>
                <w:sz w:val="20"/>
              </w:rPr>
              <w:t xml:space="preserve">3,5</w:t>
            </w:r>
          </w:p>
        </w:tc>
        <w:tc>
          <w:tcPr>
            <w:tcW w:w="849" w:type="dxa"/>
          </w:tcPr>
          <w:p>
            <w:pPr>
              <w:pStyle w:val="0"/>
              <w:jc w:val="center"/>
            </w:pPr>
            <w:r>
              <w:rPr>
                <w:sz w:val="20"/>
              </w:rPr>
              <w:t xml:space="preserve">4</w:t>
            </w:r>
          </w:p>
        </w:tc>
      </w:tr>
      <w:tr>
        <w:tc>
          <w:tcPr>
            <w:tcW w:w="567" w:type="dxa"/>
          </w:tcPr>
          <w:p>
            <w:pPr>
              <w:pStyle w:val="0"/>
              <w:jc w:val="center"/>
            </w:pPr>
            <w:r>
              <w:rPr>
                <w:sz w:val="20"/>
              </w:rPr>
              <w:t xml:space="preserve">64.</w:t>
            </w:r>
          </w:p>
        </w:tc>
        <w:tc>
          <w:tcPr>
            <w:tcW w:w="2835" w:type="dxa"/>
          </w:tcPr>
          <w:p>
            <w:pPr>
              <w:pStyle w:val="0"/>
            </w:pPr>
            <w:r>
              <w:rPr>
                <w:sz w:val="20"/>
              </w:rP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2268" w:type="dxa"/>
          </w:tcPr>
          <w:p>
            <w:pPr>
              <w:pStyle w:val="0"/>
            </w:pPr>
            <w:r>
              <w:rPr>
                <w:sz w:val="20"/>
              </w:rPr>
              <w:t xml:space="preserve">Государственная программа "Дорожное хозяйство Владимирской области"</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Прирост количества сельских населенных пунктов, обеспеченных постоянной круглогодичной связью с сетью автомобильных дорог общего пользования по дорогам с твердым покрытием</w:t>
            </w:r>
          </w:p>
        </w:tc>
        <w:tc>
          <w:tcPr>
            <w:tcW w:w="850" w:type="dxa"/>
          </w:tcPr>
          <w:p>
            <w:pPr>
              <w:pStyle w:val="0"/>
            </w:pPr>
            <w:r>
              <w:rPr>
                <w:sz w:val="20"/>
              </w:rPr>
              <w:t xml:space="preserve">км</w:t>
            </w:r>
          </w:p>
        </w:tc>
        <w:tc>
          <w:tcPr>
            <w:tcW w:w="851" w:type="dxa"/>
          </w:tcPr>
          <w:p>
            <w:pPr>
              <w:pStyle w:val="0"/>
              <w:jc w:val="center"/>
            </w:pPr>
            <w:r>
              <w:rPr>
                <w:sz w:val="20"/>
              </w:rPr>
              <w:t xml:space="preserve">16,6</w:t>
            </w:r>
          </w:p>
        </w:tc>
        <w:tc>
          <w:tcPr>
            <w:tcW w:w="849" w:type="dxa"/>
          </w:tcPr>
          <w:p>
            <w:pPr>
              <w:pStyle w:val="0"/>
              <w:jc w:val="center"/>
            </w:pPr>
            <w:r>
              <w:rPr>
                <w:sz w:val="20"/>
              </w:rPr>
              <w:t xml:space="preserve">5,0</w:t>
            </w:r>
          </w:p>
        </w:tc>
        <w:tc>
          <w:tcPr>
            <w:tcW w:w="849" w:type="dxa"/>
          </w:tcPr>
          <w:p>
            <w:pPr>
              <w:pStyle w:val="0"/>
              <w:jc w:val="center"/>
            </w:pPr>
            <w:r>
              <w:rPr>
                <w:sz w:val="20"/>
              </w:rPr>
              <w:t xml:space="preserve">0,7</w:t>
            </w:r>
          </w:p>
        </w:tc>
      </w:tr>
      <w:tr>
        <w:tc>
          <w:tcPr>
            <w:tcW w:w="567" w:type="dxa"/>
          </w:tcPr>
          <w:p>
            <w:pPr>
              <w:pStyle w:val="0"/>
              <w:jc w:val="center"/>
            </w:pPr>
            <w:r>
              <w:rPr>
                <w:sz w:val="20"/>
              </w:rPr>
              <w:t xml:space="preserve">65.</w:t>
            </w:r>
          </w:p>
        </w:tc>
        <w:tc>
          <w:tcPr>
            <w:tcW w:w="2835" w:type="dxa"/>
          </w:tcPr>
          <w:p>
            <w:pPr>
              <w:pStyle w:val="0"/>
            </w:pPr>
            <w:r>
              <w:rPr>
                <w:sz w:val="20"/>
              </w:rPr>
              <w:t xml:space="preserve">Дорожная деятельность муниципальных образований</w:t>
            </w:r>
          </w:p>
        </w:tc>
        <w:tc>
          <w:tcPr>
            <w:tcW w:w="2268" w:type="dxa"/>
          </w:tcPr>
          <w:p>
            <w:pPr>
              <w:pStyle w:val="0"/>
            </w:pPr>
            <w:r>
              <w:rPr>
                <w:sz w:val="20"/>
              </w:rPr>
              <w:t xml:space="preserve">Государственная программа "Дорожное хозяйство Владимирской области"</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Протяженность автомобильных дорог общего пользования местного значения, на которых осуществлялась дорожная деятельность</w:t>
            </w:r>
          </w:p>
        </w:tc>
        <w:tc>
          <w:tcPr>
            <w:tcW w:w="850" w:type="dxa"/>
          </w:tcPr>
          <w:p>
            <w:pPr>
              <w:pStyle w:val="0"/>
            </w:pPr>
            <w:r>
              <w:rPr>
                <w:sz w:val="20"/>
              </w:rPr>
              <w:t xml:space="preserve">км</w:t>
            </w:r>
          </w:p>
        </w:tc>
        <w:tc>
          <w:tcPr>
            <w:tcW w:w="851" w:type="dxa"/>
          </w:tcPr>
          <w:p>
            <w:pPr>
              <w:pStyle w:val="0"/>
              <w:jc w:val="center"/>
            </w:pPr>
            <w:r>
              <w:rPr>
                <w:sz w:val="20"/>
              </w:rPr>
              <w:t xml:space="preserve">0,13</w:t>
            </w:r>
          </w:p>
        </w:tc>
        <w:tc>
          <w:tcPr>
            <w:tcW w:w="849" w:type="dxa"/>
          </w:tcPr>
          <w:p>
            <w:pPr>
              <w:pStyle w:val="0"/>
              <w:jc w:val="center"/>
            </w:pPr>
            <w:r>
              <w:rPr>
                <w:sz w:val="20"/>
              </w:rPr>
              <w:t xml:space="preserve">50,0</w:t>
            </w:r>
          </w:p>
        </w:tc>
        <w:tc>
          <w:tcPr>
            <w:tcW w:w="849" w:type="dxa"/>
          </w:tcPr>
          <w:p>
            <w:pPr>
              <w:pStyle w:val="0"/>
              <w:jc w:val="center"/>
            </w:pPr>
            <w:r>
              <w:rPr>
                <w:sz w:val="20"/>
              </w:rPr>
              <w:t xml:space="preserve">50</w:t>
            </w:r>
          </w:p>
        </w:tc>
      </w:tr>
      <w:tr>
        <w:tc>
          <w:tcPr>
            <w:tcW w:w="567" w:type="dxa"/>
          </w:tcPr>
          <w:p>
            <w:pPr>
              <w:pStyle w:val="0"/>
              <w:jc w:val="center"/>
            </w:pPr>
            <w:r>
              <w:rPr>
                <w:sz w:val="20"/>
              </w:rPr>
              <w:t xml:space="preserve">66.</w:t>
            </w:r>
          </w:p>
        </w:tc>
        <w:tc>
          <w:tcPr>
            <w:tcW w:w="2835" w:type="dxa"/>
          </w:tcPr>
          <w:p>
            <w:pPr>
              <w:pStyle w:val="0"/>
            </w:pPr>
            <w:r>
              <w:rPr>
                <w:sz w:val="20"/>
              </w:rPr>
              <w:t xml:space="preserve">Дорожная деятельность в рамках реализации национального проекта "Безопасные качественные дороги"</w:t>
            </w:r>
          </w:p>
        </w:tc>
        <w:tc>
          <w:tcPr>
            <w:tcW w:w="2268" w:type="dxa"/>
          </w:tcPr>
          <w:p>
            <w:pPr>
              <w:pStyle w:val="0"/>
            </w:pPr>
            <w:r>
              <w:rPr>
                <w:sz w:val="20"/>
              </w:rPr>
              <w:t xml:space="preserve">Государственная программа "Дорожное хозяйство Владимирской области"</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Доля дорожной сети городских агломераций, находящаяся в нормативном состоянии</w:t>
            </w:r>
          </w:p>
        </w:tc>
        <w:tc>
          <w:tcPr>
            <w:tcW w:w="850" w:type="dxa"/>
          </w:tcPr>
          <w:p>
            <w:pPr>
              <w:pStyle w:val="0"/>
            </w:pPr>
            <w:r>
              <w:rPr>
                <w:sz w:val="20"/>
              </w:rPr>
              <w:t xml:space="preserve">%</w:t>
            </w:r>
          </w:p>
        </w:tc>
        <w:tc>
          <w:tcPr>
            <w:tcW w:w="851" w:type="dxa"/>
          </w:tcPr>
          <w:p>
            <w:pPr>
              <w:pStyle w:val="0"/>
              <w:jc w:val="center"/>
            </w:pPr>
            <w:r>
              <w:rPr>
                <w:sz w:val="20"/>
              </w:rPr>
              <w:t xml:space="preserve">81,0</w:t>
            </w:r>
          </w:p>
        </w:tc>
        <w:tc>
          <w:tcPr>
            <w:tcW w:w="849" w:type="dxa"/>
          </w:tcPr>
          <w:p>
            <w:pPr>
              <w:pStyle w:val="0"/>
              <w:jc w:val="center"/>
            </w:pPr>
            <w:r>
              <w:rPr>
                <w:sz w:val="20"/>
              </w:rPr>
              <w:t xml:space="preserve">85,0</w:t>
            </w:r>
          </w:p>
        </w:tc>
        <w:tc>
          <w:tcPr>
            <w:tcW w:w="849" w:type="dxa"/>
          </w:tcPr>
          <w:p>
            <w:pPr>
              <w:pStyle w:val="0"/>
              <w:jc w:val="center"/>
            </w:pPr>
            <w:r>
              <w:rPr>
                <w:sz w:val="20"/>
              </w:rPr>
              <w:t xml:space="preserve">85,0</w:t>
            </w:r>
          </w:p>
        </w:tc>
      </w:tr>
      <w:tr>
        <w:tc>
          <w:tcPr>
            <w:tcW w:w="567" w:type="dxa"/>
          </w:tcPr>
          <w:p>
            <w:pPr>
              <w:pStyle w:val="0"/>
              <w:jc w:val="center"/>
            </w:pPr>
            <w:r>
              <w:rPr>
                <w:sz w:val="20"/>
              </w:rPr>
              <w:t xml:space="preserve">67.</w:t>
            </w:r>
          </w:p>
        </w:tc>
        <w:tc>
          <w:tcPr>
            <w:tcW w:w="2835" w:type="dxa"/>
          </w:tcPr>
          <w:p>
            <w:pPr>
              <w:pStyle w:val="0"/>
            </w:pPr>
            <w:r>
              <w:rPr>
                <w:sz w:val="20"/>
              </w:rPr>
              <w:t xml:space="preserve">Развитие инфраструктуры дорожного хозяйства</w:t>
            </w:r>
          </w:p>
        </w:tc>
        <w:tc>
          <w:tcPr>
            <w:tcW w:w="2268" w:type="dxa"/>
          </w:tcPr>
          <w:p>
            <w:pPr>
              <w:pStyle w:val="0"/>
            </w:pPr>
            <w:r>
              <w:rPr>
                <w:sz w:val="20"/>
              </w:rPr>
              <w:t xml:space="preserve">Государственная программа "Дорожное хозяйство Владимирской области"</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Строительство и реконструкция автомобильных дорог регионального или межмуниципального, местного значения</w:t>
            </w:r>
          </w:p>
        </w:tc>
        <w:tc>
          <w:tcPr>
            <w:tcW w:w="850" w:type="dxa"/>
          </w:tcPr>
          <w:p>
            <w:pPr>
              <w:pStyle w:val="0"/>
            </w:pPr>
            <w:r>
              <w:rPr>
                <w:sz w:val="20"/>
              </w:rPr>
              <w:t xml:space="preserve">км</w:t>
            </w:r>
          </w:p>
        </w:tc>
        <w:tc>
          <w:tcPr>
            <w:tcW w:w="851" w:type="dxa"/>
          </w:tcPr>
          <w:p>
            <w:pPr>
              <w:pStyle w:val="0"/>
              <w:jc w:val="center"/>
            </w:pPr>
            <w:r>
              <w:rPr>
                <w:sz w:val="20"/>
              </w:rPr>
              <w:t xml:space="preserve">2,117</w:t>
            </w:r>
          </w:p>
        </w:tc>
        <w:tc>
          <w:tcPr>
            <w:tcW w:w="849" w:type="dxa"/>
          </w:tcPr>
          <w:p>
            <w:pPr>
              <w:pStyle w:val="0"/>
              <w:jc w:val="center"/>
            </w:pPr>
            <w:r>
              <w:rPr>
                <w:sz w:val="20"/>
              </w:rPr>
              <w:t xml:space="preserve">-</w:t>
            </w:r>
          </w:p>
        </w:tc>
        <w:tc>
          <w:tcPr>
            <w:tcW w:w="849" w:type="dxa"/>
          </w:tcPr>
          <w:p>
            <w:pPr>
              <w:pStyle w:val="0"/>
              <w:jc w:val="center"/>
            </w:pPr>
            <w:r>
              <w:rPr>
                <w:sz w:val="20"/>
              </w:rPr>
              <w:t xml:space="preserve">-</w:t>
            </w:r>
          </w:p>
        </w:tc>
      </w:tr>
      <w:tr>
        <w:tc>
          <w:tcPr>
            <w:tcW w:w="567" w:type="dxa"/>
          </w:tcPr>
          <w:p>
            <w:pPr>
              <w:pStyle w:val="0"/>
              <w:jc w:val="center"/>
            </w:pPr>
            <w:r>
              <w:rPr>
                <w:sz w:val="20"/>
              </w:rPr>
              <w:t xml:space="preserve">68.</w:t>
            </w:r>
          </w:p>
        </w:tc>
        <w:tc>
          <w:tcPr>
            <w:tcW w:w="2835" w:type="dxa"/>
          </w:tcPr>
          <w:p>
            <w:pPr>
              <w:pStyle w:val="0"/>
            </w:pPr>
            <w:r>
              <w:rPr>
                <w:sz w:val="20"/>
              </w:rPr>
              <w:t xml:space="preserve">Развитие транспортной инфраструктуры на сельских территориях</w:t>
            </w:r>
          </w:p>
        </w:tc>
        <w:tc>
          <w:tcPr>
            <w:tcW w:w="2268" w:type="dxa"/>
          </w:tcPr>
          <w:p>
            <w:pPr>
              <w:pStyle w:val="0"/>
            </w:pPr>
            <w:r>
              <w:rPr>
                <w:sz w:val="20"/>
              </w:rPr>
              <w:t xml:space="preserve">Государственная программа "Дорожное хозяйство Владимирской области"</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Протяженность вновь построенных и приведенных в соответствие с нормативными требованиями автомобильных дорог общего пользования на сельских территориях</w:t>
            </w:r>
          </w:p>
        </w:tc>
        <w:tc>
          <w:tcPr>
            <w:tcW w:w="850" w:type="dxa"/>
          </w:tcPr>
          <w:p>
            <w:pPr>
              <w:pStyle w:val="0"/>
            </w:pPr>
            <w:r>
              <w:rPr>
                <w:sz w:val="20"/>
              </w:rPr>
              <w:t xml:space="preserve">км</w:t>
            </w:r>
          </w:p>
        </w:tc>
        <w:tc>
          <w:tcPr>
            <w:tcW w:w="851" w:type="dxa"/>
          </w:tcPr>
          <w:p>
            <w:pPr>
              <w:pStyle w:val="0"/>
              <w:jc w:val="center"/>
            </w:pPr>
            <w:r>
              <w:rPr>
                <w:sz w:val="20"/>
              </w:rPr>
              <w:t xml:space="preserve">-</w:t>
            </w:r>
          </w:p>
        </w:tc>
        <w:tc>
          <w:tcPr>
            <w:tcW w:w="849" w:type="dxa"/>
          </w:tcPr>
          <w:p>
            <w:pPr>
              <w:pStyle w:val="0"/>
              <w:jc w:val="center"/>
            </w:pPr>
            <w:r>
              <w:rPr>
                <w:sz w:val="20"/>
              </w:rPr>
              <w:t xml:space="preserve">1,7</w:t>
            </w:r>
          </w:p>
        </w:tc>
        <w:tc>
          <w:tcPr>
            <w:tcW w:w="849" w:type="dxa"/>
          </w:tcPr>
          <w:p>
            <w:pPr>
              <w:pStyle w:val="0"/>
              <w:jc w:val="center"/>
            </w:pPr>
            <w:r>
              <w:rPr>
                <w:sz w:val="20"/>
              </w:rPr>
              <w:t xml:space="preserve">-</w:t>
            </w:r>
          </w:p>
        </w:tc>
      </w:tr>
      <w:tr>
        <w:tc>
          <w:tcPr>
            <w:tcW w:w="567" w:type="dxa"/>
          </w:tcPr>
          <w:p>
            <w:pPr>
              <w:pStyle w:val="0"/>
              <w:jc w:val="center"/>
            </w:pPr>
            <w:r>
              <w:rPr>
                <w:sz w:val="20"/>
              </w:rPr>
              <w:t xml:space="preserve">69.</w:t>
            </w:r>
          </w:p>
        </w:tc>
        <w:tc>
          <w:tcPr>
            <w:tcW w:w="2835" w:type="dxa"/>
          </w:tcPr>
          <w:p>
            <w:pPr>
              <w:pStyle w:val="0"/>
            </w:pPr>
            <w:r>
              <w:rPr>
                <w:sz w:val="20"/>
              </w:rPr>
              <w:t xml:space="preserve">Обеспечение равной доступности услуг транспорта общего пользования для отдельных категорий граждан в муниципальном сообщении</w:t>
            </w:r>
          </w:p>
        </w:tc>
        <w:tc>
          <w:tcPr>
            <w:tcW w:w="2268" w:type="dxa"/>
          </w:tcPr>
          <w:p>
            <w:pPr>
              <w:pStyle w:val="0"/>
            </w:pPr>
            <w:r>
              <w:rPr>
                <w:sz w:val="20"/>
              </w:rPr>
              <w:t xml:space="preserve">-</w:t>
            </w:r>
          </w:p>
        </w:tc>
        <w:tc>
          <w:tcPr>
            <w:tcW w:w="1984" w:type="dxa"/>
          </w:tcPr>
          <w:p>
            <w:pPr>
              <w:pStyle w:val="0"/>
            </w:pPr>
            <w:r>
              <w:rPr>
                <w:sz w:val="20"/>
              </w:rPr>
              <w:t xml:space="preserve">Департамент транспорта и дорожного хозяйства Владимирской области</w:t>
            </w:r>
          </w:p>
        </w:tc>
        <w:tc>
          <w:tcPr>
            <w:tcW w:w="2551" w:type="dxa"/>
          </w:tcPr>
          <w:p>
            <w:pPr>
              <w:pStyle w:val="0"/>
            </w:pPr>
            <w:r>
              <w:rPr>
                <w:sz w:val="20"/>
              </w:rPr>
              <w:t xml:space="preserve">Доля граждан, ежемесячно пользующихся правом проезда по месячным социальным проездным билетам, в общем количестве граждан, имеющих право на льготный проезд</w:t>
            </w:r>
          </w:p>
        </w:tc>
        <w:tc>
          <w:tcPr>
            <w:tcW w:w="850" w:type="dxa"/>
          </w:tcPr>
          <w:p>
            <w:pPr>
              <w:pStyle w:val="0"/>
            </w:pPr>
            <w:r>
              <w:rPr>
                <w:sz w:val="20"/>
              </w:rPr>
              <w:t xml:space="preserve">%</w:t>
            </w:r>
          </w:p>
        </w:tc>
        <w:tc>
          <w:tcPr>
            <w:tcW w:w="851" w:type="dxa"/>
          </w:tcPr>
          <w:p>
            <w:pPr>
              <w:pStyle w:val="0"/>
              <w:jc w:val="center"/>
            </w:pPr>
            <w:r>
              <w:rPr>
                <w:sz w:val="20"/>
              </w:rPr>
              <w:t xml:space="preserve">13,0</w:t>
            </w:r>
          </w:p>
        </w:tc>
        <w:tc>
          <w:tcPr>
            <w:tcW w:w="849" w:type="dxa"/>
          </w:tcPr>
          <w:p>
            <w:pPr>
              <w:pStyle w:val="0"/>
              <w:jc w:val="center"/>
            </w:pPr>
            <w:r>
              <w:rPr>
                <w:sz w:val="20"/>
              </w:rPr>
              <w:t xml:space="preserve">13,5</w:t>
            </w:r>
          </w:p>
        </w:tc>
        <w:tc>
          <w:tcPr>
            <w:tcW w:w="849" w:type="dxa"/>
          </w:tcPr>
          <w:p>
            <w:pPr>
              <w:pStyle w:val="0"/>
              <w:jc w:val="center"/>
            </w:pPr>
            <w:r>
              <w:rPr>
                <w:sz w:val="20"/>
              </w:rPr>
              <w:t xml:space="preserve">14,0</w:t>
            </w:r>
          </w:p>
        </w:tc>
      </w:tr>
      <w:tr>
        <w:tc>
          <w:tcPr>
            <w:tcW w:w="567" w:type="dxa"/>
          </w:tcPr>
          <w:p>
            <w:pPr>
              <w:pStyle w:val="0"/>
              <w:jc w:val="center"/>
            </w:pPr>
            <w:r>
              <w:rPr>
                <w:sz w:val="20"/>
              </w:rPr>
              <w:t xml:space="preserve">70.</w:t>
            </w:r>
          </w:p>
        </w:tc>
        <w:tc>
          <w:tcPr>
            <w:tcW w:w="2835" w:type="dxa"/>
          </w:tcPr>
          <w:p>
            <w:pPr>
              <w:pStyle w:val="0"/>
            </w:pPr>
            <w:r>
              <w:rPr>
                <w:sz w:val="20"/>
              </w:rPr>
              <w:t xml:space="preserve">Строительство и реконструкция очистных сооружений, осуществляющих сброс в малые реки области</w:t>
            </w:r>
          </w:p>
        </w:tc>
        <w:tc>
          <w:tcPr>
            <w:tcW w:w="2268"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pPr>
              <w:pStyle w:val="0"/>
            </w:pPr>
            <w:r>
              <w:rPr>
                <w:sz w:val="20"/>
              </w:rPr>
              <w:t xml:space="preserve">Департамент природопользования и охраны окружающей среды Владимирской области</w:t>
            </w:r>
          </w:p>
        </w:tc>
        <w:tc>
          <w:tcPr>
            <w:tcW w:w="2551" w:type="dxa"/>
          </w:tcPr>
          <w:p>
            <w:pPr>
              <w:pStyle w:val="0"/>
            </w:pPr>
            <w:r>
              <w:rPr>
                <w:sz w:val="20"/>
              </w:rPr>
              <w:t xml:space="preserve">Количество реконструированных и построенных очистных сооружений, сброс с которых осуществляется в малые реки, нарастающий итог</w:t>
            </w:r>
          </w:p>
        </w:tc>
        <w:tc>
          <w:tcPr>
            <w:tcW w:w="850" w:type="dxa"/>
          </w:tcPr>
          <w:p>
            <w:pPr>
              <w:pStyle w:val="0"/>
            </w:pPr>
            <w:r>
              <w:rPr>
                <w:sz w:val="20"/>
              </w:rPr>
              <w:t xml:space="preserve">ед.</w:t>
            </w:r>
          </w:p>
        </w:tc>
        <w:tc>
          <w:tcPr>
            <w:tcW w:w="851" w:type="dxa"/>
          </w:tcPr>
          <w:p>
            <w:pPr>
              <w:pStyle w:val="0"/>
              <w:jc w:val="center"/>
            </w:pPr>
            <w:r>
              <w:rPr>
                <w:sz w:val="20"/>
              </w:rPr>
              <w:t xml:space="preserve">3</w:t>
            </w:r>
          </w:p>
        </w:tc>
        <w:tc>
          <w:tcPr>
            <w:tcW w:w="849" w:type="dxa"/>
          </w:tcPr>
          <w:p>
            <w:pPr>
              <w:pStyle w:val="0"/>
              <w:jc w:val="center"/>
            </w:pPr>
            <w:r>
              <w:rPr>
                <w:sz w:val="20"/>
              </w:rPr>
              <w:t xml:space="preserve">3</w:t>
            </w:r>
          </w:p>
        </w:tc>
        <w:tc>
          <w:tcPr>
            <w:tcW w:w="849" w:type="dxa"/>
          </w:tcPr>
          <w:p>
            <w:pPr>
              <w:pStyle w:val="0"/>
              <w:jc w:val="center"/>
            </w:pPr>
            <w:r>
              <w:rPr>
                <w:sz w:val="20"/>
              </w:rPr>
              <w:t xml:space="preserve">3</w:t>
            </w:r>
          </w:p>
        </w:tc>
      </w:tr>
      <w:tr>
        <w:tc>
          <w:tcPr>
            <w:tcW w:w="567" w:type="dxa"/>
          </w:tcPr>
          <w:p>
            <w:pPr>
              <w:pStyle w:val="0"/>
              <w:jc w:val="center"/>
            </w:pPr>
            <w:r>
              <w:rPr>
                <w:sz w:val="20"/>
              </w:rPr>
              <w:t xml:space="preserve">71.</w:t>
            </w:r>
          </w:p>
        </w:tc>
        <w:tc>
          <w:tcPr>
            <w:tcW w:w="2835" w:type="dxa"/>
          </w:tcPr>
          <w:p>
            <w:pPr>
              <w:pStyle w:val="0"/>
            </w:pPr>
            <w:r>
              <w:rPr>
                <w:sz w:val="20"/>
              </w:rPr>
              <w:t xml:space="preserve">Расходы, связанные с присвоением г. Коврову почетного звания РФ "Город воинской славы" и увековечением памяти погибших при защите Отечества</w:t>
            </w:r>
          </w:p>
        </w:tc>
        <w:tc>
          <w:tcPr>
            <w:tcW w:w="2268"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984" w:type="dxa"/>
          </w:tcPr>
          <w:p>
            <w:pPr>
              <w:pStyle w:val="0"/>
            </w:pPr>
            <w:r>
              <w:rPr>
                <w:sz w:val="20"/>
              </w:rPr>
              <w:t xml:space="preserve">Департамент региональной политики Владимирской области</w:t>
            </w:r>
          </w:p>
        </w:tc>
        <w:tc>
          <w:tcPr>
            <w:tcW w:w="2551" w:type="dxa"/>
          </w:tcPr>
          <w:p>
            <w:pPr>
              <w:pStyle w:val="0"/>
            </w:pPr>
            <w:r>
              <w:rPr>
                <w:sz w:val="20"/>
              </w:rPr>
              <w:t xml:space="preserve">Выполнение плана мероприятий, связанных с присвоением почетного звания Российской Федерации "Город воинской славы" и увековечением памяти погибших при защите Отечества</w:t>
            </w:r>
          </w:p>
        </w:tc>
        <w:tc>
          <w:tcPr>
            <w:tcW w:w="850" w:type="dxa"/>
          </w:tcPr>
          <w:p>
            <w:pPr>
              <w:pStyle w:val="0"/>
            </w:pPr>
            <w:r>
              <w:rPr>
                <w:sz w:val="20"/>
              </w:rPr>
              <w:t xml:space="preserve">%</w:t>
            </w:r>
          </w:p>
        </w:tc>
        <w:tc>
          <w:tcPr>
            <w:tcW w:w="851" w:type="dxa"/>
          </w:tcPr>
          <w:p>
            <w:pPr>
              <w:pStyle w:val="0"/>
              <w:jc w:val="center"/>
            </w:pPr>
            <w:r>
              <w:rPr>
                <w:sz w:val="20"/>
              </w:rPr>
              <w:t xml:space="preserve">95</w:t>
            </w:r>
          </w:p>
        </w:tc>
        <w:tc>
          <w:tcPr>
            <w:tcW w:w="849" w:type="dxa"/>
          </w:tcPr>
          <w:p>
            <w:pPr>
              <w:pStyle w:val="0"/>
              <w:jc w:val="center"/>
            </w:pPr>
            <w:r>
              <w:rPr>
                <w:sz w:val="20"/>
              </w:rPr>
              <w:t xml:space="preserve">95</w:t>
            </w:r>
          </w:p>
        </w:tc>
        <w:tc>
          <w:tcPr>
            <w:tcW w:w="849" w:type="dxa"/>
          </w:tcPr>
          <w:p>
            <w:pPr>
              <w:pStyle w:val="0"/>
              <w:jc w:val="center"/>
            </w:pPr>
            <w:r>
              <w:rPr>
                <w:sz w:val="20"/>
              </w:rPr>
              <w:t xml:space="preserve">95</w:t>
            </w:r>
          </w:p>
        </w:tc>
      </w:tr>
      <w:tr>
        <w:tc>
          <w:tcPr>
            <w:tcW w:w="567" w:type="dxa"/>
          </w:tcPr>
          <w:p>
            <w:pPr>
              <w:pStyle w:val="0"/>
              <w:jc w:val="center"/>
            </w:pPr>
            <w:r>
              <w:rPr>
                <w:sz w:val="20"/>
              </w:rPr>
              <w:t xml:space="preserve">72.</w:t>
            </w:r>
          </w:p>
        </w:tc>
        <w:tc>
          <w:tcPr>
            <w:tcW w:w="2835" w:type="dxa"/>
          </w:tcPr>
          <w:p>
            <w:pPr>
              <w:pStyle w:val="0"/>
            </w:pPr>
            <w:r>
              <w:rPr>
                <w:sz w:val="20"/>
              </w:rPr>
              <w:t xml:space="preserve">Определение и поддержка приоритетных направлений туристической деятельности</w:t>
            </w:r>
          </w:p>
        </w:tc>
        <w:tc>
          <w:tcPr>
            <w:tcW w:w="2268"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984" w:type="dxa"/>
          </w:tcPr>
          <w:p>
            <w:pPr>
              <w:pStyle w:val="0"/>
            </w:pPr>
            <w:r>
              <w:rPr>
                <w:sz w:val="20"/>
              </w:rPr>
              <w:t xml:space="preserve">Департамент предпринимательства Владимирской области</w:t>
            </w:r>
          </w:p>
        </w:tc>
        <w:tc>
          <w:tcPr>
            <w:tcW w:w="2551" w:type="dxa"/>
          </w:tcPr>
          <w:p>
            <w:pPr>
              <w:pStyle w:val="0"/>
            </w:pPr>
            <w:r>
              <w:rPr>
                <w:sz w:val="20"/>
              </w:rPr>
              <w:t xml:space="preserve">Количество поддержанных муниципальных инициатив, направленных на развитие туризма на территории муниципального образования</w:t>
            </w:r>
          </w:p>
        </w:tc>
        <w:tc>
          <w:tcPr>
            <w:tcW w:w="850" w:type="dxa"/>
          </w:tcPr>
          <w:p>
            <w:pPr>
              <w:pStyle w:val="0"/>
            </w:pPr>
            <w:r>
              <w:rPr>
                <w:sz w:val="20"/>
              </w:rPr>
              <w:t xml:space="preserve">усл. ед.</w:t>
            </w:r>
          </w:p>
        </w:tc>
        <w:tc>
          <w:tcPr>
            <w:tcW w:w="851" w:type="dxa"/>
          </w:tcPr>
          <w:p>
            <w:pPr>
              <w:pStyle w:val="0"/>
              <w:jc w:val="center"/>
            </w:pPr>
            <w:r>
              <w:rPr>
                <w:sz w:val="20"/>
              </w:rPr>
              <w:t xml:space="preserve">10</w:t>
            </w:r>
          </w:p>
        </w:tc>
        <w:tc>
          <w:tcPr>
            <w:tcW w:w="849" w:type="dxa"/>
          </w:tcPr>
          <w:p>
            <w:pPr>
              <w:pStyle w:val="0"/>
              <w:jc w:val="center"/>
            </w:pPr>
            <w:r>
              <w:rPr>
                <w:sz w:val="20"/>
              </w:rPr>
              <w:t xml:space="preserve">10</w:t>
            </w:r>
          </w:p>
        </w:tc>
        <w:tc>
          <w:tcPr>
            <w:tcW w:w="849" w:type="dxa"/>
          </w:tcPr>
          <w:p>
            <w:pPr>
              <w:pStyle w:val="0"/>
              <w:jc w:val="center"/>
            </w:pPr>
            <w:r>
              <w:rPr>
                <w:sz w:val="20"/>
              </w:rPr>
              <w:t xml:space="preserve">10</w:t>
            </w:r>
          </w:p>
        </w:tc>
      </w:tr>
      <w:tr>
        <w:tc>
          <w:tcPr>
            <w:tcW w:w="567" w:type="dxa"/>
            <w:vMerge w:val="restart"/>
          </w:tcPr>
          <w:p>
            <w:pPr>
              <w:pStyle w:val="0"/>
              <w:jc w:val="center"/>
            </w:pPr>
            <w:r>
              <w:rPr>
                <w:sz w:val="20"/>
              </w:rPr>
              <w:t xml:space="preserve">73.</w:t>
            </w:r>
          </w:p>
        </w:tc>
        <w:tc>
          <w:tcPr>
            <w:tcW w:w="2835" w:type="dxa"/>
            <w:vMerge w:val="restart"/>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w:t>
            </w:r>
          </w:p>
        </w:tc>
        <w:tc>
          <w:tcPr>
            <w:tcW w:w="2268" w:type="dxa"/>
            <w:vMerge w:val="restart"/>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984" w:type="dxa"/>
            <w:vMerge w:val="restart"/>
          </w:tcPr>
          <w:p>
            <w:pPr>
              <w:pStyle w:val="0"/>
            </w:pPr>
            <w:r>
              <w:rPr>
                <w:sz w:val="20"/>
              </w:rPr>
              <w:t xml:space="preserve">Департамент предпринимательства Владимирской области</w:t>
            </w:r>
          </w:p>
        </w:tc>
        <w:tc>
          <w:tcPr>
            <w:tcW w:w="2551" w:type="dxa"/>
          </w:tcPr>
          <w:p>
            <w:pPr>
              <w:pStyle w:val="0"/>
            </w:pPr>
            <w:r>
              <w:rPr>
                <w:sz w:val="20"/>
              </w:rPr>
              <w:t xml:space="preserve">Количество субъектов малого и среднего предпринимательства, а также физических лиц, применяющих специальный налоговый режим "Налог на профессиональный доход", получивших государственную поддержку</w:t>
            </w:r>
          </w:p>
        </w:tc>
        <w:tc>
          <w:tcPr>
            <w:tcW w:w="850" w:type="dxa"/>
          </w:tcPr>
          <w:p>
            <w:pPr>
              <w:pStyle w:val="0"/>
            </w:pPr>
            <w:r>
              <w:rPr>
                <w:sz w:val="20"/>
              </w:rPr>
              <w:t xml:space="preserve">ед.</w:t>
            </w:r>
          </w:p>
        </w:tc>
        <w:tc>
          <w:tcPr>
            <w:tcW w:w="851" w:type="dxa"/>
          </w:tcPr>
          <w:p>
            <w:pPr>
              <w:pStyle w:val="0"/>
              <w:jc w:val="center"/>
            </w:pPr>
            <w:r>
              <w:rPr>
                <w:sz w:val="20"/>
              </w:rPr>
              <w:t xml:space="preserve">12</w:t>
            </w:r>
          </w:p>
        </w:tc>
        <w:tc>
          <w:tcPr>
            <w:tcW w:w="849" w:type="dxa"/>
          </w:tcPr>
          <w:p>
            <w:pPr>
              <w:pStyle w:val="0"/>
              <w:jc w:val="center"/>
            </w:pPr>
            <w:r>
              <w:rPr>
                <w:sz w:val="20"/>
              </w:rPr>
              <w:t xml:space="preserve">12</w:t>
            </w:r>
          </w:p>
        </w:tc>
        <w:tc>
          <w:tcPr>
            <w:tcW w:w="849" w:type="dxa"/>
          </w:tcPr>
          <w:p>
            <w:pPr>
              <w:pStyle w:val="0"/>
              <w:jc w:val="center"/>
            </w:pPr>
            <w:r>
              <w:rPr>
                <w:sz w:val="20"/>
              </w:rPr>
              <w:t xml:space="preserve">12</w:t>
            </w:r>
          </w:p>
        </w:tc>
      </w:tr>
      <w:tr>
        <w:tc>
          <w:tcPr>
            <w:vMerge w:val="continue"/>
          </w:tcPr>
          <w:p/>
        </w:tc>
        <w:tc>
          <w:tcPr>
            <w:vMerge w:val="continue"/>
          </w:tcPr>
          <w:p/>
        </w:tc>
        <w:tc>
          <w:tcPr>
            <w:vMerge w:val="continue"/>
          </w:tcPr>
          <w:p/>
        </w:tc>
        <w:tc>
          <w:tcPr>
            <w:vMerge w:val="continue"/>
          </w:tcPr>
          <w:p/>
        </w:tc>
        <w:tc>
          <w:tcPr>
            <w:tcW w:w="2551" w:type="dxa"/>
          </w:tcPr>
          <w:p>
            <w:pPr>
              <w:pStyle w:val="0"/>
            </w:pPr>
            <w:r>
              <w:rPr>
                <w:sz w:val="20"/>
              </w:rPr>
              <w:t xml:space="preserve">Количество вновь созданных рабочих мест (включая вновь зарегистрированных индивидуальных предпринимателей и физических лиц, применяющих специальный налоговый режим "Налог на профессиональный доход") субъектами малого и среднего предпринимательства, получившими государственную поддержку</w:t>
            </w:r>
          </w:p>
        </w:tc>
        <w:tc>
          <w:tcPr>
            <w:tcW w:w="850" w:type="dxa"/>
          </w:tcPr>
          <w:p>
            <w:pPr>
              <w:pStyle w:val="0"/>
            </w:pPr>
            <w:r>
              <w:rPr>
                <w:sz w:val="20"/>
              </w:rPr>
              <w:t xml:space="preserve">ед.</w:t>
            </w:r>
          </w:p>
        </w:tc>
        <w:tc>
          <w:tcPr>
            <w:tcW w:w="851" w:type="dxa"/>
          </w:tcPr>
          <w:p>
            <w:pPr>
              <w:pStyle w:val="0"/>
              <w:jc w:val="center"/>
            </w:pPr>
            <w:r>
              <w:rPr>
                <w:sz w:val="20"/>
              </w:rPr>
              <w:t xml:space="preserve">7</w:t>
            </w:r>
          </w:p>
        </w:tc>
        <w:tc>
          <w:tcPr>
            <w:tcW w:w="849" w:type="dxa"/>
          </w:tcPr>
          <w:p>
            <w:pPr>
              <w:pStyle w:val="0"/>
              <w:jc w:val="center"/>
            </w:pPr>
            <w:r>
              <w:rPr>
                <w:sz w:val="20"/>
              </w:rPr>
              <w:t xml:space="preserve">7</w:t>
            </w:r>
          </w:p>
        </w:tc>
        <w:tc>
          <w:tcPr>
            <w:tcW w:w="849" w:type="dxa"/>
          </w:tcPr>
          <w:p>
            <w:pPr>
              <w:pStyle w:val="0"/>
              <w:jc w:val="center"/>
            </w:pPr>
            <w:r>
              <w:rPr>
                <w:sz w:val="20"/>
              </w:rPr>
              <w:t xml:space="preserve">7</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88"/>
      <w:headerReference w:type="first" r:id="rId88"/>
      <w:footerReference w:type="default" r:id="rId89"/>
      <w:footerReference w:type="first" r:id="rId89"/>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21.07.2022 N 686-р</w:t>
            <w:br/>
            <w:t>"Об утверждении исходных данных для составления проек...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21.07.2022 N 686-р</w:t>
            <w:br/>
            <w:t>"Об утверждении исходных данных для составления проек...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2AD9FFEBB1EA43617A88098948FEF79A5558772FAEAB836E532B01EBF9D916C0C7FB97441143121B32F0A1C5CA472724ABD3104515CA41987F36890mDF5P" TargetMode = "External"/>
	<Relationship Id="rId8" Type="http://schemas.openxmlformats.org/officeDocument/2006/relationships/hyperlink" Target="consultantplus://offline/ref=F2AD9FFEBB1EA43617A88098948FEF79A5558772FAEAB935ED3CB01EBF9D916C0C7FB97441143121B32F0D185BA472724ABD3104515CA41987F36890mDF5P" TargetMode = "External"/>
	<Relationship Id="rId9" Type="http://schemas.openxmlformats.org/officeDocument/2006/relationships/hyperlink" Target="consultantplus://offline/ref=F2AD9FFEBB1EA43617A89E9582E3B173A35DDD78FBECB662B160B649E0CD97394C3FBF2102533925BB24594E19FA2B2307F63C054640A41Am9FAP" TargetMode = "External"/>
	<Relationship Id="rId10" Type="http://schemas.openxmlformats.org/officeDocument/2006/relationships/hyperlink" Target="consultantplus://offline/ref=F2AD9FFEBB1EA43617A89E9582E3B173A45BD17FF9EBB662B160B649E0CD97395E3FE72D02592220B2310F1F5FmAFCP" TargetMode = "External"/>
	<Relationship Id="rId11" Type="http://schemas.openxmlformats.org/officeDocument/2006/relationships/hyperlink" Target="consultantplus://offline/ref=F2AD9FFEBB1EA43617A88098948FEF79A5558772FAEAB836E532B01EBF9D916C0C7FB97441143121B32F051958A472724ABD3104515CA41987F36890mDF5P" TargetMode = "External"/>
	<Relationship Id="rId12" Type="http://schemas.openxmlformats.org/officeDocument/2006/relationships/hyperlink" Target="consultantplus://offline/ref=F2AD9FFEBB1EA43617A88098948FEF79A5558772FAEAB435EF34B01EBF9D916C0C7FB9745314692DB326131F5CB124230CmEFBP" TargetMode = "External"/>
	<Relationship Id="rId13" Type="http://schemas.openxmlformats.org/officeDocument/2006/relationships/hyperlink" Target="consultantplus://offline/ref=F2AD9FFEBB1EA43617A88098948FEF79A5558772FAEAB937EF36B01EBF9D916C0C7FB9745314692DB326131F5CB124230CmEFBP" TargetMode = "External"/>
	<Relationship Id="rId14" Type="http://schemas.openxmlformats.org/officeDocument/2006/relationships/hyperlink" Target="consultantplus://offline/ref=F2AD9FFEBB1EA43617A88098948FEF79A5558772FAE9BD33ED34B01EBF9D916C0C7FB9745314692DB326131F5CB124230CmEFBP" TargetMode = "External"/>
	<Relationship Id="rId15" Type="http://schemas.openxmlformats.org/officeDocument/2006/relationships/hyperlink" Target="consultantplus://offline/ref=F2AD9FFEBB1EA43617A88098948FEF79A5558772FAE9BD33ED34B01EBF9D916C0C7FB9745314692DB326131F5CB124230CmEFBP" TargetMode = "External"/>
	<Relationship Id="rId16" Type="http://schemas.openxmlformats.org/officeDocument/2006/relationships/hyperlink" Target="consultantplus://offline/ref=F2AD9FFEBB1EA43617A88098948FEF79A5558772FAECB43DEB30B01EBF9D916C0C7FB9745314692DB326131F5CB124230CmEFBP" TargetMode = "External"/>
	<Relationship Id="rId17" Type="http://schemas.openxmlformats.org/officeDocument/2006/relationships/hyperlink" Target="consultantplus://offline/ref=F2AD9FFEBB1EA43617A88098948FEF79A5558772FAEAB435EC35B01EBF9D916C0C7FB9745314692DB326131F5CB124230CmEFBP" TargetMode = "External"/>
	<Relationship Id="rId18" Type="http://schemas.openxmlformats.org/officeDocument/2006/relationships/hyperlink" Target="consultantplus://offline/ref=F2AD9FFEBB1EA43617A88098948FEF79A5558772FAE9BD31EC3CB01EBF9D916C0C7FB9745314692DB326131F5CB124230CmEFBP" TargetMode = "External"/>
	<Relationship Id="rId19" Type="http://schemas.openxmlformats.org/officeDocument/2006/relationships/hyperlink" Target="consultantplus://offline/ref=F2AD9FFEBB1EA43617A88098948FEF79A5558772FAE9BD31EC3DB01EBF9D916C0C7FB9745314692DB326131F5CB124230CmEFBP" TargetMode = "External"/>
	<Relationship Id="rId20" Type="http://schemas.openxmlformats.org/officeDocument/2006/relationships/hyperlink" Target="consultantplus://offline/ref=F2AD9FFEBB1EA43617A88098948FEF79A5558772FAEFBF33E837B01EBF9D916C0C7FB9745314692DB326131F5CB124230CmEFBP" TargetMode = "External"/>
	<Relationship Id="rId21" Type="http://schemas.openxmlformats.org/officeDocument/2006/relationships/hyperlink" Target="consultantplus://offline/ref=F2AD9FFEBB1EA43617A88098948FEF79A5558772FAEFB830EE34B01EBF9D916C0C7FB9745314692DB326131F5CB124230CmEFBP" TargetMode = "External"/>
	<Relationship Id="rId22" Type="http://schemas.openxmlformats.org/officeDocument/2006/relationships/hyperlink" Target="consultantplus://offline/ref=F2AD9FFEBB1EA43617A88098948FEF79A5558772FAEFB434EC32B01EBF9D916C0C7FB9745314692DB326131F5CB124230CmEFBP" TargetMode = "External"/>
	<Relationship Id="rId23" Type="http://schemas.openxmlformats.org/officeDocument/2006/relationships/hyperlink" Target="consultantplus://offline/ref=F2AD9FFEBB1EA43617A88098948FEF79A5558772FAEEBE35EE37B01EBF9D916C0C7FB9745314692DB326131F5CB124230CmEFBP" TargetMode = "External"/>
	<Relationship Id="rId24" Type="http://schemas.openxmlformats.org/officeDocument/2006/relationships/hyperlink" Target="consultantplus://offline/ref=F2AD9FFEBB1EA43617A89E9582E3B173A35FD079FEEEB662B160B649E0CD97395E3FE72D02592220B2310F1F5FmAFCP" TargetMode = "External"/>
	<Relationship Id="rId25" Type="http://schemas.openxmlformats.org/officeDocument/2006/relationships/hyperlink" Target="consultantplus://offline/ref=F2AD9FFEBB1EA43617A89E9582E3B173A458DF7BF9E4B662B160B649E0CD97395E3FE72D02592220B2310F1F5FmAFCP" TargetMode = "External"/>
	<Relationship Id="rId26" Type="http://schemas.openxmlformats.org/officeDocument/2006/relationships/hyperlink" Target="consultantplus://offline/ref=F2AD9FFEBB1EA43617A88098948FEF79A5558772FAE9BA35EB34B01EBF9D916C0C7FB9745314692DB326131F5CB124230CmEFBP" TargetMode = "External"/>
	<Relationship Id="rId27" Type="http://schemas.openxmlformats.org/officeDocument/2006/relationships/hyperlink" Target="consultantplus://offline/ref=F2AD9FFEBB1EA43617A88098948FEF79A5558772FAEAB435EF34B01EBF9D916C0C7FB9745314692DB326131F5CB124230CmEFBP" TargetMode = "External"/>
	<Relationship Id="rId28" Type="http://schemas.openxmlformats.org/officeDocument/2006/relationships/hyperlink" Target="consultantplus://offline/ref=F2AD9FFEBB1EA43617A88098948FEF79A5558772FAEAB937EA36B01EBF9D916C0C7FB9745314692DB326131F5CB124230CmEFBP" TargetMode = "External"/>
	<Relationship Id="rId29" Type="http://schemas.openxmlformats.org/officeDocument/2006/relationships/hyperlink" Target="consultantplus://offline/ref=F2AD9FFEBB1EA43617A88098948FEF79A5558772FAE9BD33ED34B01EBF9D916C0C7FB9745314692DB326131F5CB124230CmEFBP" TargetMode = "External"/>
	<Relationship Id="rId30" Type="http://schemas.openxmlformats.org/officeDocument/2006/relationships/hyperlink" Target="consultantplus://offline/ref=F2AD9FFEBB1EA43617A88098948FEF79A5558772FAE9BD33ED34B01EBF9D916C0C7FB9745314692DB326131F5CB124230CmEFBP" TargetMode = "External"/>
	<Relationship Id="rId31" Type="http://schemas.openxmlformats.org/officeDocument/2006/relationships/hyperlink" Target="consultantplus://offline/ref=F2AD9FFEBB1EA43617A88098948FEF79A5558772FAEAB435EC35B01EBF9D916C0C7FB9745314692DB326131F5CB124230CmEFBP" TargetMode = "External"/>
	<Relationship Id="rId32" Type="http://schemas.openxmlformats.org/officeDocument/2006/relationships/hyperlink" Target="consultantplus://offline/ref=F2AD9FFEBB1EA43617A88098948FEF79A5558772FAEAB937EA36B01EBF9D916C0C7FB9745314692DB326131F5CB124230CmEFBP" TargetMode = "External"/>
	<Relationship Id="rId33" Type="http://schemas.openxmlformats.org/officeDocument/2006/relationships/hyperlink" Target="consultantplus://offline/ref=F2AD9FFEBB1EA43617A88098948FEF79A5558772FAE9BD31EC3CB01EBF9D916C0C7FB9745314692DB326131F5CB124230CmEFBP" TargetMode = "External"/>
	<Relationship Id="rId34" Type="http://schemas.openxmlformats.org/officeDocument/2006/relationships/hyperlink" Target="consultantplus://offline/ref=F2AD9FFEBB1EA43617A88098948FEF79A5558772FAEBBC3DE535B01EBF9D916C0C7FB9745314692DB326131F5CB124230CmEFBP" TargetMode = "External"/>
	<Relationship Id="rId35" Type="http://schemas.openxmlformats.org/officeDocument/2006/relationships/hyperlink" Target="consultantplus://offline/ref=F2AD9FFEBB1EA43617A88098948FEF79A5558772FAE5BD36E83DB01EBF9D916C0C7FB9745314692DB326131F5CB124230CmEFBP" TargetMode = "External"/>
	<Relationship Id="rId36" Type="http://schemas.openxmlformats.org/officeDocument/2006/relationships/hyperlink" Target="consultantplus://offline/ref=F2AD9FFEBB1EA43617A88098948FEF79A5558772FAEBBC3DE535B01EBF9D916C0C7FB9745314692DB326131F5CB124230CmEFBP" TargetMode = "External"/>
	<Relationship Id="rId37" Type="http://schemas.openxmlformats.org/officeDocument/2006/relationships/hyperlink" Target="consultantplus://offline/ref=F2AD9FFEBB1EA43617A89E9582E3B173A35DDD78FBECB662B160B649E0CD97394C3FBF2405563A2BE77E494A50AF2F3D0EE922065840mAF7P" TargetMode = "External"/>
	<Relationship Id="rId38" Type="http://schemas.openxmlformats.org/officeDocument/2006/relationships/hyperlink" Target="consultantplus://offline/ref=F2AD9FFEBB1EA43617A89E9582E3B173A35ED07EFEE8B662B160B649E0CD97395E3FE72D02592220B2310F1F5FmAFCP" TargetMode = "External"/>
	<Relationship Id="rId39" Type="http://schemas.openxmlformats.org/officeDocument/2006/relationships/hyperlink" Target="consultantplus://offline/ref=F2AD9FFEBB1EA43617A89E9582E3B173A35FD079FEEEB662B160B649E0CD97395E3FE72D02592220B2310F1F5FmAFCP" TargetMode = "External"/>
	<Relationship Id="rId40" Type="http://schemas.openxmlformats.org/officeDocument/2006/relationships/hyperlink" Target="consultantplus://offline/ref=F2AD9FFEBB1EA43617A88098948FEF79A5558772FAEEBA36E435B01EBF9D916C0C7FB9745314692DB326131F5CB124230CmEFBP" TargetMode = "External"/>
	<Relationship Id="rId41" Type="http://schemas.openxmlformats.org/officeDocument/2006/relationships/hyperlink" Target="consultantplus://offline/ref=F2AD9FFEBB1EA43617A88098948FEF79A5558772FAEAB934EE35B01EBF9D916C0C7FB9745314692DB326131F5CB124230CmEFBP" TargetMode = "External"/>
	<Relationship Id="rId42" Type="http://schemas.openxmlformats.org/officeDocument/2006/relationships/hyperlink" Target="consultantplus://offline/ref=F2AD9FFEBB1EA43617A88098948FEF79A5558772FAEABB3CEE37B01EBF9D916C0C7FB9745314692DB326131F5CB124230CmEFBP" TargetMode = "External"/>
	<Relationship Id="rId43" Type="http://schemas.openxmlformats.org/officeDocument/2006/relationships/hyperlink" Target="consultantplus://offline/ref=F2AD9FFEBB1EA43617A88098948FEF79A5558772FAEABB3CEE37B01EBF9D916C0C7FB9745314692DB326131F5CB124230CmEFBP" TargetMode = "External"/>
	<Relationship Id="rId44" Type="http://schemas.openxmlformats.org/officeDocument/2006/relationships/hyperlink" Target="consultantplus://offline/ref=F2AD9FFEBB1EA43617A89E9582E3B173A35DDD78FBECB662B160B649E0CD97394C3FBF2102533925BB24594E19FA2B2307F63C054640A41Am9FAP" TargetMode = "External"/>
	<Relationship Id="rId45" Type="http://schemas.openxmlformats.org/officeDocument/2006/relationships/hyperlink" Target="consultantplus://offline/ref=F2AD9FFEBB1EA43617A89E9582E3B173A45BD17FF9EBB662B160B649E0CD97395E3FE72D02592220B2310F1F5FmAFCP" TargetMode = "External"/>
	<Relationship Id="rId46" Type="http://schemas.openxmlformats.org/officeDocument/2006/relationships/hyperlink" Target="consultantplus://offline/ref=F2AD9FFEBB1EA43617A89E9582E3B173A45BDE76F9EAB662B160B649E0CD97395E3FE72D02592220B2310F1F5FmAFCP" TargetMode = "External"/>
	<Relationship Id="rId47" Type="http://schemas.openxmlformats.org/officeDocument/2006/relationships/hyperlink" Target="consultantplus://offline/ref=F2AD9FFEBB1EA43617A89E9582E3B173A556DE7AF0BBE160E035B84CE89DCD295A76B2291C503D3EB12F0Fm1FCP" TargetMode = "External"/>
	<Relationship Id="rId48" Type="http://schemas.openxmlformats.org/officeDocument/2006/relationships/hyperlink" Target="consultantplus://offline/ref=F2AD9FFEBB1EA43617A88098948FEF79A5558772FAE8BC33EE33B01EBF9D916C0C7FB9745314692DB326131F5CB124230CmEFBP" TargetMode = "External"/>
	<Relationship Id="rId49" Type="http://schemas.openxmlformats.org/officeDocument/2006/relationships/hyperlink" Target="consultantplus://offline/ref=F2AD9FFEBB1EA43617A88098948FEF79A5558772FAEABB3CEE37B01EBF9D916C0C7FB9745314692DB326131F5CB124230CmEFBP" TargetMode = "External"/>
	<Relationship Id="rId50" Type="http://schemas.openxmlformats.org/officeDocument/2006/relationships/hyperlink" Target="consultantplus://offline/ref=F2AD9FFEBB1EA43617A88098948FEF79A5558772FAEABD34EF30B01EBF9D916C0C7FB9745314692DB326131F5CB124230CmEFBP" TargetMode = "External"/>
	<Relationship Id="rId51" Type="http://schemas.openxmlformats.org/officeDocument/2006/relationships/hyperlink" Target="consultantplus://offline/ref=F2AD9FFEBB1EA43617A88098948FEF79A5558772FAEAB532EC33B01EBF9D916C0C7FB9745314692DB326131F5CB124230CmEFBP" TargetMode = "External"/>
	<Relationship Id="rId52" Type="http://schemas.openxmlformats.org/officeDocument/2006/relationships/hyperlink" Target="consultantplus://offline/ref=F2AD9FFEBB1EA43617A89E9582E3B173A35DDD78FBECB662B160B649E0CD97394C3FBF2106543C2BE77E494A50AF2F3D0EE922065840mAF7P" TargetMode = "External"/>
	<Relationship Id="rId53" Type="http://schemas.openxmlformats.org/officeDocument/2006/relationships/hyperlink" Target="consultantplus://offline/ref=F2AD9FFEBB1EA43617A89E9582E3B173A35DDD78FBECB662B160B649E0CD97395E3FE72D02592220B2310F1F5FmAFCP" TargetMode = "External"/>
	<Relationship Id="rId54" Type="http://schemas.openxmlformats.org/officeDocument/2006/relationships/hyperlink" Target="consultantplus://offline/ref=F2AD9FFEBB1EA43617A88098948FEF79A5558772FAE8BC33EE33B01EBF9D916C0C7FB9745314692DB326131F5CB124230CmEFBP" TargetMode = "External"/>
	<Relationship Id="rId55" Type="http://schemas.openxmlformats.org/officeDocument/2006/relationships/hyperlink" Target="consultantplus://offline/ref=F2AD9FFEBB1EA43617A89E9582E3B173A65CD07CFFE9B662B160B649E0CD97395E3FE72D02592220B2310F1F5FmAFCP" TargetMode = "External"/>
	<Relationship Id="rId56" Type="http://schemas.openxmlformats.org/officeDocument/2006/relationships/hyperlink" Target="consultantplus://offline/ref=F2AD9FFEBB1EA43617A89E9582E3B173A65DD97AFAEBB662B160B649E0CD97395E3FE72D02592220B2310F1F5FmAFCP" TargetMode = "External"/>
	<Relationship Id="rId57" Type="http://schemas.openxmlformats.org/officeDocument/2006/relationships/hyperlink" Target="consultantplus://offline/ref=F2AD9FFEBB1EA43617A89E9582E3B173A65CD07CF8E8B662B160B649E0CD97395E3FE72D02592220B2310F1F5FmAFCP" TargetMode = "External"/>
	<Relationship Id="rId58" Type="http://schemas.openxmlformats.org/officeDocument/2006/relationships/hyperlink" Target="consultantplus://offline/ref=F2AD9FFEBB1EA43617A89E9582E3B173A35CD17AFBEAB662B160B649E0CD97395E3FE72D02592220B2310F1F5FmAFCP" TargetMode = "External"/>
	<Relationship Id="rId59" Type="http://schemas.openxmlformats.org/officeDocument/2006/relationships/hyperlink" Target="consultantplus://offline/ref=F2AD9FFEBB1EA43617A89E9582E3B173A35CDC7DF9E5B662B160B649E0CD97395E3FE72D02592220B2310F1F5FmAFCP" TargetMode = "External"/>
	<Relationship Id="rId60" Type="http://schemas.openxmlformats.org/officeDocument/2006/relationships/hyperlink" Target="consultantplus://offline/ref=F2AD9FFEBB1EA43617A88098948FEF79A5558772FAE8BC33EE33B01EBF9D916C0C7FB9745314692DB326131F5CB124230CmEFBP" TargetMode = "External"/>
	<Relationship Id="rId61" Type="http://schemas.openxmlformats.org/officeDocument/2006/relationships/hyperlink" Target="consultantplus://offline/ref=F2AD9FFEBB1EA43617A89E9582E3B173A35FD076FFEAB662B160B649E0CD97394C3FBF2107523921B324594E19FA2B2307F63C054640A41Am9FAP" TargetMode = "External"/>
	<Relationship Id="rId62" Type="http://schemas.openxmlformats.org/officeDocument/2006/relationships/hyperlink" Target="consultantplus://offline/ref=F2AD9FFEBB1EA43617A89E9582E3B173A35EDC79F2EAB662B160B649E0CD97395E3FE72D02592220B2310F1F5FmAFCP" TargetMode = "External"/>
	<Relationship Id="rId63" Type="http://schemas.openxmlformats.org/officeDocument/2006/relationships/hyperlink" Target="consultantplus://offline/ref=F2AD9FFEBB1EA43617A89E9582E3B173A45BD17FF9EBB662B160B649E0CD97395E3FE72D02592220B2310F1F5FmAFCP" TargetMode = "External"/>
	<Relationship Id="rId64" Type="http://schemas.openxmlformats.org/officeDocument/2006/relationships/hyperlink" Target="consultantplus://offline/ref=F2AD9FFEBB1EA43617A89E9582E3B173A45BDE76F9EAB662B160B649E0CD97395E3FE72D02592220B2310F1F5FmAFCP" TargetMode = "External"/>
	<Relationship Id="rId65" Type="http://schemas.openxmlformats.org/officeDocument/2006/relationships/hyperlink" Target="consultantplus://offline/ref=F2AD9FFEBB1EA43617A89E9582E3B173A65CD07CFFE9B662B160B649E0CD97395E3FE72D02592220B2310F1F5FmAFCP" TargetMode = "External"/>
	<Relationship Id="rId66" Type="http://schemas.openxmlformats.org/officeDocument/2006/relationships/hyperlink" Target="consultantplus://offline/ref=F2AD9FFEBB1EA43617A89E9582E3B173A65DD97AFAEBB662B160B649E0CD97395E3FE72D02592220B2310F1F5FmAFCP" TargetMode = "External"/>
	<Relationship Id="rId67" Type="http://schemas.openxmlformats.org/officeDocument/2006/relationships/hyperlink" Target="consultantplus://offline/ref=F2AD9FFEBB1EA43617A88098948FEF79A5558772FAEAB531E43DB01EBF9D916C0C7FB9745314692DB326131F5CB124230CmEFBP" TargetMode = "External"/>
	<Relationship Id="rId68" Type="http://schemas.openxmlformats.org/officeDocument/2006/relationships/hyperlink" Target="consultantplus://offline/ref=F2AD9FFEBB1EA43617A89E9582E3B173A35CDE7DFDECB662B160B649E0CD97395E3FE72D02592220B2310F1F5FmAFCP" TargetMode = "External"/>
	<Relationship Id="rId69" Type="http://schemas.openxmlformats.org/officeDocument/2006/relationships/hyperlink" Target="consultantplus://offline/ref=F2AD9FFEBB1EA43617A88098948FEF79A5558772FAE5BD35E536B01EBF9D916C0C7FB9745314692DB326131F5CB124230CmEFBP" TargetMode = "External"/>
	<Relationship Id="rId70" Type="http://schemas.openxmlformats.org/officeDocument/2006/relationships/hyperlink" Target="consultantplus://offline/ref=F2AD9FFEBB1EA43617A89E9582E3B173A35DDD78FBECB662B160B649E0CD97394C3FBF2500533C2BE77E494A50AF2F3D0EE922065840mAF7P" TargetMode = "External"/>
	<Relationship Id="rId71" Type="http://schemas.openxmlformats.org/officeDocument/2006/relationships/hyperlink" Target="consultantplus://offline/ref=F2AD9FFEBB1EA43617A89E9582E3B173A35CDE7DFDECB662B160B649E0CD97395E3FE72D02592220B2310F1F5FmAFCP" TargetMode = "External"/>
	<Relationship Id="rId72" Type="http://schemas.openxmlformats.org/officeDocument/2006/relationships/hyperlink" Target="consultantplus://offline/ref=F2AD9FFEBB1EA43617A89E9582E3B173A35DDD78FBECB662B160B649E0CD97394C3FBF210659342BE77E494A50AF2F3D0EE922065840mAF7P" TargetMode = "External"/>
	<Relationship Id="rId73" Type="http://schemas.openxmlformats.org/officeDocument/2006/relationships/hyperlink" Target="consultantplus://offline/ref=F2AD9FFEBB1EA43617A88098948FEF79A5558772FAE8BD35EB34B01EBF9D916C0C7FB97441143121B32F0A1F5BA472724ABD3104515CA41987F36890mDF5P" TargetMode = "External"/>
	<Relationship Id="rId74" Type="http://schemas.openxmlformats.org/officeDocument/2006/relationships/hyperlink" Target="consultantplus://offline/ref=F2AD9FFEBB1EA43617A89E9582E3B173A35FDB7CFDECB662B160B649E0CD97395E3FE72D02592220B2310F1F5FmAFCP" TargetMode = "External"/>
	<Relationship Id="rId75" Type="http://schemas.openxmlformats.org/officeDocument/2006/relationships/hyperlink" Target="consultantplus://offline/ref=F2AD9FFEBB1EA43617A89E9582E3B173A557DF79FEE8B662B160B649E0CD97395E3FE72D02592220B2310F1F5FmAFCP" TargetMode = "External"/>
	<Relationship Id="rId76" Type="http://schemas.openxmlformats.org/officeDocument/2006/relationships/hyperlink" Target="consultantplus://offline/ref=F2AD9FFEBB1EA43617A89E9582E3B173A35CDE7DFDE9B662B160B649E0CD97395E3FE72D02592220B2310F1F5FmAFCP" TargetMode = "External"/>
	<Relationship Id="rId77" Type="http://schemas.openxmlformats.org/officeDocument/2006/relationships/hyperlink" Target="consultantplus://offline/ref=F2AD9FFEBB1EA43617A89E9582E3B173A35FDA77FDE4B662B160B649E0CD97395E3FE72D02592220B2310F1F5FmAFCP" TargetMode = "External"/>
	<Relationship Id="rId78" Type="http://schemas.openxmlformats.org/officeDocument/2006/relationships/hyperlink" Target="consultantplus://offline/ref=F2AD9FFEBB1EA43617A88098948FEF79A5558772FAEABD36E830B01EBF9D916C0C7FB9745314692DB326131F5CB124230CmEFBP" TargetMode = "External"/>
	<Relationship Id="rId79" Type="http://schemas.openxmlformats.org/officeDocument/2006/relationships/hyperlink" Target="consultantplus://offline/ref=F2AD9FFEBB1EA43617A89E9582E3B173A35CDC7DF9E5B662B160B649E0CD97394C3FBF2102503C21B524594E19FA2B2307F63C054640A41Am9FAP" TargetMode = "External"/>
	<Relationship Id="rId80" Type="http://schemas.openxmlformats.org/officeDocument/2006/relationships/hyperlink" Target="consultantplus://offline/ref=F2AD9FFEBB1EA43617A88098948FEF79A5558772FAE8BC33EE33B01EBF9D916C0C7FB9745314692DB326131F5CB124230CmEFBP" TargetMode = "External"/>
	<Relationship Id="rId81" Type="http://schemas.openxmlformats.org/officeDocument/2006/relationships/hyperlink" Target="consultantplus://offline/ref=F2AD9FFEBB1EA43617A88098948FEF79A5558772FAE8BC33EE33B01EBF9D916C0C7FB9745314692DB326131F5CB124230CmEFBP" TargetMode = "External"/>
	<Relationship Id="rId82" Type="http://schemas.openxmlformats.org/officeDocument/2006/relationships/hyperlink" Target="consultantplus://offline/ref=F2AD9FFEBB1EA43617A88098948FEF79A5558772FAEABD34EF30B01EBF9D916C0C7FB9745314692DB326131F5CB124230CmEFBP" TargetMode = "External"/>
	<Relationship Id="rId83" Type="http://schemas.openxmlformats.org/officeDocument/2006/relationships/hyperlink" Target="consultantplus://offline/ref=F2AD9FFEBB1EA43617A88098948FEF79A5558772FAEABE3DEB36B01EBF9D916C0C7FB9745314692DB326131F5CB124230CmEFBP" TargetMode = "External"/>
	<Relationship Id="rId84" Type="http://schemas.openxmlformats.org/officeDocument/2006/relationships/hyperlink" Target="consultantplus://offline/ref=F2AD9FFEBB1EA43617A89E9582E3B173A35FDA7CFAEFB662B160B649E0CD97395E3FE72D02592220B2310F1F5FmAFCP" TargetMode = "External"/>
	<Relationship Id="rId85" Type="http://schemas.openxmlformats.org/officeDocument/2006/relationships/hyperlink" Target="consultantplus://offline/ref=F2AD9FFEBB1EA43617A88098948FEF79A5558772FAEABF3CEE3CB01EBF9D916C0C7FB9745314692DB326131F5CB124230CmEFBP" TargetMode = "External"/>
	<Relationship Id="rId86" Type="http://schemas.openxmlformats.org/officeDocument/2006/relationships/hyperlink" Target="consultantplus://offline/ref=F2AD9FFEBB1EA43617A88098948FEF79A5558772FAE5BD35EA31B01EBF9D916C0C7FB9745314692DB326131F5CB124230CmEFBP" TargetMode = "External"/>
	<Relationship Id="rId87" Type="http://schemas.openxmlformats.org/officeDocument/2006/relationships/hyperlink" Target="consultantplus://offline/ref=F2AD9FFEBB1EA43617A88098948FEF79A5558772FAEAB936E435B01EBF9D916C0C7FB9745314692DB326131F5CB124230CmEFBP" TargetMode = "External"/>
	<Relationship Id="rId88" Type="http://schemas.openxmlformats.org/officeDocument/2006/relationships/header" Target="header2.xml"/>
	<Relationship Id="rId89" Type="http://schemas.openxmlformats.org/officeDocument/2006/relationships/footer" Target="footer2.xml"/>
	<Relationship Id="rId90" Type="http://schemas.openxmlformats.org/officeDocument/2006/relationships/hyperlink" Target="consultantplus://offline/ref=F2AD9FFEBB1EA43617A89E9582E3B173A45BD179F3EBB662B160B649E0CD97395E3FE72D02592220B2310F1F5FmAFCP" TargetMode = "External"/>
	<Relationship Id="rId91" Type="http://schemas.openxmlformats.org/officeDocument/2006/relationships/hyperlink" Target="consultantplus://offline/ref=F2AD9FFEBB1EA43617A89E9582E3B173A35FDD77FDEDB662B160B649E0CD97394C3FBF2102503C21BB24594E19FA2B2307F63C054640A41Am9FAP" TargetMode = "External"/>
	<Relationship Id="rId92" Type="http://schemas.openxmlformats.org/officeDocument/2006/relationships/hyperlink" Target="consultantplus://offline/ref=F2AD9FFEBB1EA43617A89E9582E3B173A459D87AF2E9B662B160B649E0CD97394C3FBF2102503C24B424594E19FA2B2307F63C054640A41Am9FAP" TargetMode = "External"/>
	<Relationship Id="rId93" Type="http://schemas.openxmlformats.org/officeDocument/2006/relationships/hyperlink" Target="consultantplus://offline/ref=F2AD9FFEBB1EA43617A89E9582E3B173A35FDD77FDEDB662B160B649E0CD97394C3FBF2102503C21BB24594E19FA2B2307F63C054640A41Am9FAP" TargetMode = "External"/>
	<Relationship Id="rId94" Type="http://schemas.openxmlformats.org/officeDocument/2006/relationships/hyperlink" Target="consultantplus://offline/ref=F2AD9FFEBB1EA43617A89E9582E3B173A459D87AF2E9B662B160B649E0CD97394C3FBF2102503C24B424594E19FA2B2307F63C054640A41Am9FAP" TargetMode = "External"/>
	<Relationship Id="rId95" Type="http://schemas.openxmlformats.org/officeDocument/2006/relationships/hyperlink" Target="consultantplus://offline/ref=F2AD9FFEBB1EA43617A89E9582E3B173A65CD07CFFE9B662B160B649E0CD97395E3FE72D02592220B2310F1F5FmAFCP" TargetMode = "External"/>
	<Relationship Id="rId96" Type="http://schemas.openxmlformats.org/officeDocument/2006/relationships/hyperlink" Target="consultantplus://offline/ref=F2AD9FFEBB1EA43617A89E9582E3B173A65DD97AFAEBB662B160B649E0CD97395E3FE72D02592220B2310F1F5FmAFCP" TargetMode = "External"/>
	<Relationship Id="rId97" Type="http://schemas.openxmlformats.org/officeDocument/2006/relationships/hyperlink" Target="consultantplus://offline/ref=801C0AFF5151D06622B94A2EED0601165BC3715040238507D88902F6EAFC1F86F5A9928AA71F2F191E21CC71FFn8F8P" TargetMode = "External"/>
	<Relationship Id="rId98" Type="http://schemas.openxmlformats.org/officeDocument/2006/relationships/hyperlink" Target="consultantplus://offline/ref=801C0AFF5151D06622B94A2EED0601165BC1745243218507D88902F6EAFC1F86E7A9CA86A71638111D349A20B9DE75BF7F61EF4B567791C1n3FEP"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администрации Владимирской обл. от 21.07.2022 N 686-р
"Об утверждении исходных данных для составления проекта областного бюджета на 2023 год и на плановый период 2024 и 2025 годов"
(вместе с "Основными направлениями налоговой политики Владимирской области на 2023 год и на плановый период 2024 и 2025 годов", "Основными направлениями бюджетной политики Владимирской области на 2023 год и на плановый период 2024 и 2025 годов", "Основными направлениями долговой политики Владимирской области на 2023 </dc:title>
  <dcterms:created xsi:type="dcterms:W3CDTF">2023-01-09T15:05:36Z</dcterms:created>
</cp:coreProperties>
</file>