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Распоряжение администрации Владимирской обл. от 05.07.2021 N 512-р</w:t>
              <w:br/>
              <w:t xml:space="preserve">"Об утверждении исходных данных для составления проекта областного бюджета на 2022 год и на плановый период 2023 и 2024 годов"</w:t>
              <w:br/>
              <w:t xml:space="preserve">(вместе с "Основными направлениями налоговой политики Владимирской области на 2022 год и на плановый период 2023 и 2024 годов", "Основными направлениями бюджетной политики Владимирской области на 2022 год и на плановый период 2023 и 2024 годов")</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09.01.2023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АДМИНИСТРАЦИЯ ВЛАДИМИРСКОЙ ОБЛАСТИ</w:t>
      </w:r>
    </w:p>
    <w:p>
      <w:pPr>
        <w:pStyle w:val="2"/>
        <w:jc w:val="both"/>
      </w:pPr>
      <w:r>
        <w:rPr>
          <w:sz w:val="20"/>
        </w:rPr>
      </w:r>
    </w:p>
    <w:p>
      <w:pPr>
        <w:pStyle w:val="2"/>
        <w:jc w:val="center"/>
      </w:pPr>
      <w:r>
        <w:rPr>
          <w:sz w:val="20"/>
        </w:rPr>
        <w:t xml:space="preserve">РАСПОРЯЖЕНИЕ</w:t>
      </w:r>
    </w:p>
    <w:p>
      <w:pPr>
        <w:pStyle w:val="2"/>
        <w:jc w:val="center"/>
      </w:pPr>
      <w:r>
        <w:rPr>
          <w:sz w:val="20"/>
        </w:rPr>
        <w:t xml:space="preserve">от 5 июля 2021 г. N 512-р</w:t>
      </w:r>
    </w:p>
    <w:p>
      <w:pPr>
        <w:pStyle w:val="2"/>
        <w:jc w:val="both"/>
      </w:pPr>
      <w:r>
        <w:rPr>
          <w:sz w:val="20"/>
        </w:rPr>
      </w:r>
    </w:p>
    <w:p>
      <w:pPr>
        <w:pStyle w:val="2"/>
        <w:jc w:val="center"/>
      </w:pPr>
      <w:r>
        <w:rPr>
          <w:sz w:val="20"/>
        </w:rPr>
        <w:t xml:space="preserve">ОБ УТВЕРЖДЕНИИ ИСХОДНЫХ ДАННЫХ ДЛЯ СОСТАВЛЕНИЯ ПРОЕКТА</w:t>
      </w:r>
    </w:p>
    <w:p>
      <w:pPr>
        <w:pStyle w:val="2"/>
        <w:jc w:val="center"/>
      </w:pPr>
      <w:r>
        <w:rPr>
          <w:sz w:val="20"/>
        </w:rPr>
        <w:t xml:space="preserve">ОБЛАСТНОГО БЮДЖЕТА НА 2022 ГОД И НА ПЛАНОВЫЙ ПЕРИОД</w:t>
      </w:r>
    </w:p>
    <w:p>
      <w:pPr>
        <w:pStyle w:val="2"/>
        <w:jc w:val="center"/>
      </w:pPr>
      <w:r>
        <w:rPr>
          <w:sz w:val="20"/>
        </w:rPr>
        <w:t xml:space="preserve">2023 И 2024 ГОДОВ</w:t>
      </w:r>
    </w:p>
    <w:p>
      <w:pPr>
        <w:pStyle w:val="0"/>
        <w:jc w:val="both"/>
      </w:pPr>
      <w:r>
        <w:rPr>
          <w:sz w:val="20"/>
        </w:rPr>
      </w:r>
    </w:p>
    <w:p>
      <w:pPr>
        <w:pStyle w:val="0"/>
        <w:ind w:firstLine="540"/>
        <w:jc w:val="both"/>
      </w:pPr>
      <w:r>
        <w:rPr>
          <w:sz w:val="20"/>
        </w:rPr>
        <w:t xml:space="preserve">В соответствии с </w:t>
      </w:r>
      <w:hyperlink w:history="0" r:id="rId7" w:tooltip="Закон Владимирской области от 24.11.2000 N 82-ОЗ (ред. от 09.08.2022) &quot;О бюджетном процессе во Владимирской области&quot; (принят постановлением ЗС Владимирской области от 15.11.2000 N 370) {КонсультантПлюс}">
        <w:r>
          <w:rPr>
            <w:sz w:val="20"/>
            <w:color w:val="0000ff"/>
          </w:rPr>
          <w:t xml:space="preserve">Законом</w:t>
        </w:r>
      </w:hyperlink>
      <w:r>
        <w:rPr>
          <w:sz w:val="20"/>
        </w:rPr>
        <w:t xml:space="preserve"> Владимирской области от 24.11.2000 N 82-ОЗ "О бюджетном процессе во Владимирской области", </w:t>
      </w:r>
      <w:hyperlink w:history="0" r:id="rId8" w:tooltip="Распоряжение администрации Владимирской обл. от 17.05.2019 N 419-р (ред. от 01.07.2022) &quot;О порядке составления проекта областного бюджета и проекта бюджета территориального фонда обязательного медицинского страхования Владимирской области на очередной финансовый год и на плановый период&quot; (вместе с &quot;Положением о порядке составления проекта областного бюджета и проекта бюджета территориального фонда обязательного медицинского страхования Владимирской области на очередной финансовый год и на плановый период&quot;) {КонсультантПлюс}">
        <w:r>
          <w:rPr>
            <w:sz w:val="20"/>
            <w:color w:val="0000ff"/>
          </w:rPr>
          <w:t xml:space="preserve">распоряжением</w:t>
        </w:r>
      </w:hyperlink>
      <w:r>
        <w:rPr>
          <w:sz w:val="20"/>
        </w:rPr>
        <w:t xml:space="preserve"> администрации области от 17.05.2019 N 419-р "О порядке составления проекта областного бюджета и проекта бюджета территориального фонда обязательного медицинского страхования Владимирской области на очередной финансовый год и на плановый период" и в целях составления проекта областного бюджета на 2022 год и на плановый период 2023 и 2024 годов:</w:t>
      </w:r>
    </w:p>
    <w:p>
      <w:pPr>
        <w:pStyle w:val="0"/>
        <w:spacing w:before="200" w:line-rule="auto"/>
        <w:ind w:firstLine="540"/>
        <w:jc w:val="both"/>
      </w:pPr>
      <w:r>
        <w:rPr>
          <w:sz w:val="20"/>
        </w:rPr>
        <w:t xml:space="preserve">1. Утвердить:</w:t>
      </w:r>
    </w:p>
    <w:p>
      <w:pPr>
        <w:pStyle w:val="0"/>
        <w:spacing w:before="200" w:line-rule="auto"/>
        <w:ind w:firstLine="540"/>
        <w:jc w:val="both"/>
      </w:pPr>
      <w:r>
        <w:rPr>
          <w:sz w:val="20"/>
        </w:rPr>
        <w:t xml:space="preserve">1.1. Основные </w:t>
      </w:r>
      <w:hyperlink w:history="0" w:anchor="P39" w:tooltip="ОСНОВНЫЕ НАПРАВЛЕНИЯ">
        <w:r>
          <w:rPr>
            <w:sz w:val="20"/>
            <w:color w:val="0000ff"/>
          </w:rPr>
          <w:t xml:space="preserve">направления</w:t>
        </w:r>
      </w:hyperlink>
      <w:r>
        <w:rPr>
          <w:sz w:val="20"/>
        </w:rPr>
        <w:t xml:space="preserve"> налоговой политики Владимирской области на 2022 год и на плановый период 2023 и 2024 годов согласно приложению N 1.</w:t>
      </w:r>
    </w:p>
    <w:p>
      <w:pPr>
        <w:pStyle w:val="0"/>
        <w:spacing w:before="200" w:line-rule="auto"/>
        <w:ind w:firstLine="540"/>
        <w:jc w:val="both"/>
      </w:pPr>
      <w:r>
        <w:rPr>
          <w:sz w:val="20"/>
        </w:rPr>
        <w:t xml:space="preserve">1.2. Основные </w:t>
      </w:r>
      <w:hyperlink w:history="0" w:anchor="P411" w:tooltip="ОСНОВНЫЕ НАПРАВЛЕНИЯ">
        <w:r>
          <w:rPr>
            <w:sz w:val="20"/>
            <w:color w:val="0000ff"/>
          </w:rPr>
          <w:t xml:space="preserve">направления</w:t>
        </w:r>
      </w:hyperlink>
      <w:r>
        <w:rPr>
          <w:sz w:val="20"/>
        </w:rPr>
        <w:t xml:space="preserve"> бюджетной политики Владимирской области на 2022 год и на плановый период 2023 и 2024 годов согласно приложению N 2.</w:t>
      </w:r>
    </w:p>
    <w:p>
      <w:pPr>
        <w:pStyle w:val="0"/>
        <w:spacing w:before="200" w:line-rule="auto"/>
        <w:ind w:firstLine="540"/>
        <w:jc w:val="both"/>
      </w:pPr>
      <w:r>
        <w:rPr>
          <w:sz w:val="20"/>
        </w:rPr>
        <w:t xml:space="preserve">1.3. Основные </w:t>
      </w:r>
      <w:hyperlink w:history="0" w:anchor="P665" w:tooltip="ОСНОВНЫЕ ПОКАЗАТЕЛИ">
        <w:r>
          <w:rPr>
            <w:sz w:val="20"/>
            <w:color w:val="0000ff"/>
          </w:rPr>
          <w:t xml:space="preserve">показатели</w:t>
        </w:r>
      </w:hyperlink>
      <w:r>
        <w:rPr>
          <w:sz w:val="20"/>
        </w:rPr>
        <w:t xml:space="preserve"> консолидированного бюджета Владимирской области на 2022 год и на плановый период 2023 и 2024 годов согласно приложению N 3.</w:t>
      </w:r>
    </w:p>
    <w:p>
      <w:pPr>
        <w:pStyle w:val="0"/>
        <w:spacing w:before="200" w:line-rule="auto"/>
        <w:ind w:firstLine="540"/>
        <w:jc w:val="both"/>
      </w:pPr>
      <w:r>
        <w:rPr>
          <w:sz w:val="20"/>
        </w:rPr>
        <w:t xml:space="preserve">1.4. Основные </w:t>
      </w:r>
      <w:hyperlink w:history="0" w:anchor="P710" w:tooltip="ОСНОВНЫЕ ХАРАКТЕРИСТИКИ">
        <w:r>
          <w:rPr>
            <w:sz w:val="20"/>
            <w:color w:val="0000ff"/>
          </w:rPr>
          <w:t xml:space="preserve">характеристики</w:t>
        </w:r>
      </w:hyperlink>
      <w:r>
        <w:rPr>
          <w:sz w:val="20"/>
        </w:rPr>
        <w:t xml:space="preserve"> областного бюджета на 2022 год и на плановый период 2023 и 2024 годов согласно приложению N 4.</w:t>
      </w:r>
    </w:p>
    <w:p>
      <w:pPr>
        <w:pStyle w:val="0"/>
        <w:spacing w:before="200" w:line-rule="auto"/>
        <w:ind w:firstLine="540"/>
        <w:jc w:val="both"/>
      </w:pPr>
      <w:r>
        <w:rPr>
          <w:sz w:val="20"/>
        </w:rPr>
        <w:t xml:space="preserve">1.5. </w:t>
      </w:r>
      <w:hyperlink w:history="0" w:anchor="P798" w:tooltip="РАСПРЕДЕЛЕНИЕ">
        <w:r>
          <w:rPr>
            <w:sz w:val="20"/>
            <w:color w:val="0000ff"/>
          </w:rPr>
          <w:t xml:space="preserve">Распределение</w:t>
        </w:r>
      </w:hyperlink>
      <w:r>
        <w:rPr>
          <w:sz w:val="20"/>
        </w:rPr>
        <w:t xml:space="preserve"> бюджетных ассигнований на исполнение действующих обязательств Владимирской области по главным распорядителям средств областного бюджета на 2022 год и на плановый период 2023 и 2024 годов согласно приложению N 5.</w:t>
      </w:r>
    </w:p>
    <w:p>
      <w:pPr>
        <w:pStyle w:val="0"/>
        <w:spacing w:before="200" w:line-rule="auto"/>
        <w:ind w:firstLine="540"/>
        <w:jc w:val="both"/>
      </w:pPr>
      <w:r>
        <w:rPr>
          <w:sz w:val="20"/>
        </w:rPr>
        <w:t xml:space="preserve">1.6. </w:t>
      </w:r>
      <w:hyperlink w:history="0" w:anchor="P1011" w:tooltip="РАСПРЕДЕЛЕНИЕ">
        <w:r>
          <w:rPr>
            <w:sz w:val="20"/>
            <w:color w:val="0000ff"/>
          </w:rPr>
          <w:t xml:space="preserve">Распределение</w:t>
        </w:r>
      </w:hyperlink>
      <w:r>
        <w:rPr>
          <w:sz w:val="20"/>
        </w:rPr>
        <w:t xml:space="preserve"> бюджетных ассигнований на исполнение действующих обязательств Владимирской области по разделам классификации расходов областного бюджета на 2022 год и на плановый период 2023 и 2024 годов согласно приложению N 6.</w:t>
      </w:r>
    </w:p>
    <w:p>
      <w:pPr>
        <w:pStyle w:val="0"/>
        <w:spacing w:before="200" w:line-rule="auto"/>
        <w:ind w:firstLine="540"/>
        <w:jc w:val="both"/>
      </w:pPr>
      <w:r>
        <w:rPr>
          <w:sz w:val="20"/>
        </w:rPr>
        <w:t xml:space="preserve">1.7. </w:t>
      </w:r>
      <w:hyperlink w:history="0" w:anchor="P1114" w:tooltip="РАСПРЕДЕЛЕНИЕ">
        <w:r>
          <w:rPr>
            <w:sz w:val="20"/>
            <w:color w:val="0000ff"/>
          </w:rPr>
          <w:t xml:space="preserve">Распределение</w:t>
        </w:r>
      </w:hyperlink>
      <w:r>
        <w:rPr>
          <w:sz w:val="20"/>
        </w:rPr>
        <w:t xml:space="preserve"> бюджетных ассигнований на исполнение вновь принимаемых обязательств Владимирской области на 2022 год и на плановый период 2023 и 2024 годов согласно приложению N 7.</w:t>
      </w:r>
    </w:p>
    <w:p>
      <w:pPr>
        <w:pStyle w:val="0"/>
        <w:spacing w:before="200" w:line-rule="auto"/>
        <w:ind w:firstLine="540"/>
        <w:jc w:val="both"/>
      </w:pPr>
      <w:r>
        <w:rPr>
          <w:sz w:val="20"/>
        </w:rPr>
        <w:t xml:space="preserve">1.8. </w:t>
      </w:r>
      <w:hyperlink w:history="0" w:anchor="P1269" w:tooltip="ПЕРЕЧЕНЬ">
        <w:r>
          <w:rPr>
            <w:sz w:val="20"/>
            <w:color w:val="0000ff"/>
          </w:rPr>
          <w:t xml:space="preserve">Перечень</w:t>
        </w:r>
      </w:hyperlink>
      <w:r>
        <w:rPr>
          <w:sz w:val="20"/>
        </w:rPr>
        <w:t xml:space="preserve"> приоритетных направлений софинансирования расходных обязательств муниципальных образований Владимирской области на 2022 год и на плановый период 2023 и 2024 годов согласно приложению N 8.</w:t>
      </w:r>
    </w:p>
    <w:p>
      <w:pPr>
        <w:pStyle w:val="0"/>
        <w:spacing w:before="200" w:line-rule="auto"/>
        <w:ind w:firstLine="540"/>
        <w:jc w:val="both"/>
      </w:pPr>
      <w:r>
        <w:rPr>
          <w:sz w:val="20"/>
        </w:rPr>
        <w:t xml:space="preserve">2. Департаменту финансов, бюджетной и налоговой политики администрации области направить настоящее распоряжение в Законодательное Собрание области до 1 августа 2021 года.</w:t>
      </w:r>
    </w:p>
    <w:p>
      <w:pPr>
        <w:pStyle w:val="0"/>
        <w:spacing w:before="200" w:line-rule="auto"/>
        <w:ind w:firstLine="540"/>
        <w:jc w:val="both"/>
      </w:pPr>
      <w:r>
        <w:rPr>
          <w:sz w:val="20"/>
        </w:rPr>
        <w:t xml:space="preserve">3. Контроль за исполнением настоящего распоряжения возложить на первого заместителя Губернатора области, директора департамента финансов, бюджетной и налоговой политики администрации области.</w:t>
      </w:r>
    </w:p>
    <w:p>
      <w:pPr>
        <w:pStyle w:val="0"/>
        <w:jc w:val="both"/>
      </w:pPr>
      <w:r>
        <w:rPr>
          <w:sz w:val="20"/>
        </w:rPr>
      </w:r>
    </w:p>
    <w:p>
      <w:pPr>
        <w:pStyle w:val="0"/>
        <w:jc w:val="right"/>
      </w:pPr>
      <w:r>
        <w:rPr>
          <w:sz w:val="20"/>
        </w:rPr>
        <w:t xml:space="preserve">Губернатор области</w:t>
      </w:r>
    </w:p>
    <w:p>
      <w:pPr>
        <w:pStyle w:val="0"/>
        <w:jc w:val="right"/>
      </w:pPr>
      <w:r>
        <w:rPr>
          <w:sz w:val="20"/>
        </w:rPr>
        <w:t xml:space="preserve">В.В.СИПЯГИН</w:t>
      </w:r>
    </w:p>
    <w:p>
      <w:pPr>
        <w:pStyle w:val="0"/>
      </w:pPr>
      <w:r>
        <w:rPr>
          <w:sz w:val="20"/>
        </w:rPr>
        <w:t xml:space="preserve">Владимир</w:t>
      </w:r>
    </w:p>
    <w:p>
      <w:pPr>
        <w:pStyle w:val="0"/>
        <w:spacing w:before="200" w:line-rule="auto"/>
      </w:pPr>
      <w:r>
        <w:rPr>
          <w:sz w:val="20"/>
        </w:rPr>
        <w:t xml:space="preserve">5 июля 2021 года</w:t>
      </w:r>
    </w:p>
    <w:p>
      <w:pPr>
        <w:pStyle w:val="0"/>
        <w:spacing w:before="200" w:line-rule="auto"/>
      </w:pPr>
      <w:r>
        <w:rPr>
          <w:sz w:val="20"/>
        </w:rPr>
        <w:t xml:space="preserve">N 512-р</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1</w:t>
      </w:r>
    </w:p>
    <w:p>
      <w:pPr>
        <w:pStyle w:val="0"/>
        <w:jc w:val="right"/>
      </w:pPr>
      <w:r>
        <w:rPr>
          <w:sz w:val="20"/>
        </w:rPr>
        <w:t xml:space="preserve">к распоряжению</w:t>
      </w:r>
    </w:p>
    <w:p>
      <w:pPr>
        <w:pStyle w:val="0"/>
        <w:jc w:val="right"/>
      </w:pPr>
      <w:r>
        <w:rPr>
          <w:sz w:val="20"/>
        </w:rPr>
        <w:t xml:space="preserve">администрации</w:t>
      </w:r>
    </w:p>
    <w:p>
      <w:pPr>
        <w:pStyle w:val="0"/>
        <w:jc w:val="right"/>
      </w:pPr>
      <w:r>
        <w:rPr>
          <w:sz w:val="20"/>
        </w:rPr>
        <w:t xml:space="preserve">Владимирской области</w:t>
      </w:r>
    </w:p>
    <w:p>
      <w:pPr>
        <w:pStyle w:val="0"/>
        <w:jc w:val="right"/>
      </w:pPr>
      <w:r>
        <w:rPr>
          <w:sz w:val="20"/>
        </w:rPr>
        <w:t xml:space="preserve">от 05.07.2021 N 512-р</w:t>
      </w:r>
    </w:p>
    <w:p>
      <w:pPr>
        <w:pStyle w:val="0"/>
        <w:jc w:val="both"/>
      </w:pPr>
      <w:r>
        <w:rPr>
          <w:sz w:val="20"/>
        </w:rPr>
      </w:r>
    </w:p>
    <w:bookmarkStart w:id="39" w:name="P39"/>
    <w:bookmarkEnd w:id="39"/>
    <w:p>
      <w:pPr>
        <w:pStyle w:val="2"/>
        <w:jc w:val="center"/>
      </w:pPr>
      <w:r>
        <w:rPr>
          <w:sz w:val="20"/>
        </w:rPr>
        <w:t xml:space="preserve">ОСНОВНЫЕ НАПРАВЛЕНИЯ</w:t>
      </w:r>
    </w:p>
    <w:p>
      <w:pPr>
        <w:pStyle w:val="2"/>
        <w:jc w:val="center"/>
      </w:pPr>
      <w:r>
        <w:rPr>
          <w:sz w:val="20"/>
        </w:rPr>
        <w:t xml:space="preserve">НАЛОГОВОЙ ПОЛИТИКИ ВЛАДИМИРСКОЙ ОБЛАСТИ НА 2022 ГОД</w:t>
      </w:r>
    </w:p>
    <w:p>
      <w:pPr>
        <w:pStyle w:val="2"/>
        <w:jc w:val="center"/>
      </w:pPr>
      <w:r>
        <w:rPr>
          <w:sz w:val="20"/>
        </w:rPr>
        <w:t xml:space="preserve">И НА ПЛАНОВЫЙ ПЕРИОД 2023 И 2024 ГОДОВ</w:t>
      </w:r>
    </w:p>
    <w:p>
      <w:pPr>
        <w:pStyle w:val="0"/>
        <w:jc w:val="both"/>
      </w:pPr>
      <w:r>
        <w:rPr>
          <w:sz w:val="20"/>
        </w:rPr>
      </w:r>
    </w:p>
    <w:p>
      <w:pPr>
        <w:pStyle w:val="0"/>
        <w:ind w:firstLine="540"/>
        <w:jc w:val="both"/>
      </w:pPr>
      <w:r>
        <w:rPr>
          <w:sz w:val="20"/>
        </w:rPr>
        <w:t xml:space="preserve">Основные направления налоговой политики Владимирской области на 2022 год и на плановый период 2023 и 2024 годов разработаны в соответствии со </w:t>
      </w:r>
      <w:hyperlink w:history="0" r:id="rId9" w:tooltip="&quot;Бюджетный кодекс Российской Федерации&quot; от 31.07.1998 N 145-ФЗ (ред. от 19.12.2022) ------------ Недействующая редакция {КонсультантПлюс}">
        <w:r>
          <w:rPr>
            <w:sz w:val="20"/>
            <w:color w:val="0000ff"/>
          </w:rPr>
          <w:t xml:space="preserve">статьей 172</w:t>
        </w:r>
      </w:hyperlink>
      <w:r>
        <w:rPr>
          <w:sz w:val="20"/>
        </w:rPr>
        <w:t xml:space="preserve"> Бюджетного кодекса Российской Федерации, посланием Президента Российской Федерации Федеральному Собранию от 21 апреля 2021 года, </w:t>
      </w:r>
      <w:hyperlink w:history="0" r:id="rId10" w:tooltip="Указ Президента РФ от 07.05.2018 N 204 (ред. от 21.07.2020) &quot;О национальных целях и стратегических задачах развития Российской Федерации на период до 2024 года&quot; {КонсультантПлюс}">
        <w:r>
          <w:rPr>
            <w:sz w:val="20"/>
            <w:color w:val="0000ff"/>
          </w:rPr>
          <w:t xml:space="preserve">Указом</w:t>
        </w:r>
      </w:hyperlink>
      <w:r>
        <w:rPr>
          <w:sz w:val="20"/>
        </w:rPr>
        <w:t xml:space="preserve"> Президента Российской Федерации от 7 мая 2018 г. N 204 "О национальных целях и стратегических задачах развития Российской Федерации на период до 2024 года", </w:t>
      </w:r>
      <w:hyperlink w:history="0" r:id="rId11" w:tooltip="Закон Владимирской области от 24.11.2000 N 82-ОЗ (ред. от 09.08.2022) &quot;О бюджетном процессе во Владимирской области&quot; (принят постановлением ЗС Владимирской области от 15.11.2000 N 370) {КонсультантПлюс}">
        <w:r>
          <w:rPr>
            <w:sz w:val="20"/>
            <w:color w:val="0000ff"/>
          </w:rPr>
          <w:t xml:space="preserve">Законом</w:t>
        </w:r>
      </w:hyperlink>
      <w:r>
        <w:rPr>
          <w:sz w:val="20"/>
        </w:rPr>
        <w:t xml:space="preserve"> области от 24 ноября 2000 г. N 82-ОЗ "О бюджетном процессе во Владимирской области".</w:t>
      </w:r>
    </w:p>
    <w:p>
      <w:pPr>
        <w:pStyle w:val="0"/>
        <w:spacing w:before="200" w:line-rule="auto"/>
        <w:ind w:firstLine="540"/>
        <w:jc w:val="both"/>
      </w:pPr>
      <w:r>
        <w:rPr>
          <w:sz w:val="20"/>
        </w:rPr>
        <w:t xml:space="preserve">Результатом реализации налоговой политики должно стать повышение налогового потенциала области за счет роста экономических показателей в части увеличения валового регионального продукта, создания новых высококвалифицированных рабочих мест с высоким уровнем заработной платы.</w:t>
      </w:r>
    </w:p>
    <w:p>
      <w:pPr>
        <w:pStyle w:val="0"/>
        <w:spacing w:before="200" w:line-rule="auto"/>
        <w:ind w:firstLine="540"/>
        <w:jc w:val="both"/>
      </w:pPr>
      <w:r>
        <w:rPr>
          <w:sz w:val="20"/>
        </w:rPr>
        <w:t xml:space="preserve">В случае изменений параметров налоговой системы Российской Федерации основные направления налоговой политики Владимирской области могут быть скорректированы в 2022 году при определении налоговой политики на 2023 и последующие годы.</w:t>
      </w:r>
    </w:p>
    <w:p>
      <w:pPr>
        <w:pStyle w:val="0"/>
        <w:jc w:val="both"/>
      </w:pPr>
      <w:r>
        <w:rPr>
          <w:sz w:val="20"/>
        </w:rPr>
      </w:r>
    </w:p>
    <w:p>
      <w:pPr>
        <w:pStyle w:val="2"/>
        <w:outlineLvl w:val="1"/>
        <w:jc w:val="center"/>
      </w:pPr>
      <w:r>
        <w:rPr>
          <w:sz w:val="20"/>
        </w:rPr>
        <w:t xml:space="preserve">I. Основные результаты реализации</w:t>
      </w:r>
    </w:p>
    <w:p>
      <w:pPr>
        <w:pStyle w:val="2"/>
        <w:jc w:val="center"/>
      </w:pPr>
      <w:r>
        <w:rPr>
          <w:sz w:val="20"/>
        </w:rPr>
        <w:t xml:space="preserve">налоговой политики в 2020 году</w:t>
      </w:r>
    </w:p>
    <w:p>
      <w:pPr>
        <w:pStyle w:val="0"/>
        <w:jc w:val="both"/>
      </w:pPr>
      <w:r>
        <w:rPr>
          <w:sz w:val="20"/>
        </w:rPr>
      </w:r>
    </w:p>
    <w:p>
      <w:pPr>
        <w:pStyle w:val="0"/>
        <w:ind w:firstLine="540"/>
        <w:jc w:val="both"/>
      </w:pPr>
      <w:r>
        <w:rPr>
          <w:sz w:val="20"/>
        </w:rPr>
        <w:t xml:space="preserve">В 2020 году экономика Владимирской области оказалась под воздействием распространения коронавирусной инфекции, что не могло не сказаться на деловой активности бизнеса. Принятые меры государственной поддержки бизнеса и населения, а также реализация Общенационального плана действий по развитию экономики способствовали обеспечению роста основных показателей, характеризующих социально-экономическое развитие региона. Оборот организаций достиг уровня 1206,7 млрд. рублей, или 102,3% к уровню 2019 года. Индекс промышленного производства составил 119,3% к 2019 году против 97,1% по Российской Федерации. Объем отгруженных товаров собственного производства, выполненных работ и услуг собственными силами по виду деятельности "обрабатывающие производства" увеличился на 8,5%, объем работ, выполненных по виду деятельности "строительство", - на 6,2%. Среднемесячная заработная плата одного работника (включая субъекты малого предпринимательства) увеличилась на 5,9% и сложилась в сумме 34343,2 рубля.</w:t>
      </w:r>
    </w:p>
    <w:p>
      <w:pPr>
        <w:pStyle w:val="0"/>
        <w:spacing w:before="200" w:line-rule="auto"/>
        <w:ind w:firstLine="540"/>
        <w:jc w:val="both"/>
      </w:pPr>
      <w:r>
        <w:rPr>
          <w:sz w:val="20"/>
        </w:rPr>
        <w:t xml:space="preserve">В 2020 году налоговая политика области способствовала продолжению работы по увеличению налогового потенциала области за счет повышения инвестиционной активности, создания условий справедливой конкурентной среды, совершенствования и оптимизации системы налогового администрирования, стимулирования развития малого и среднего предпринимательства, сохранения всех предоставляемых областным законодательством эффективных налоговых льгот.</w:t>
      </w:r>
    </w:p>
    <w:p>
      <w:pPr>
        <w:pStyle w:val="0"/>
        <w:spacing w:before="200" w:line-rule="auto"/>
        <w:ind w:firstLine="540"/>
        <w:jc w:val="both"/>
      </w:pPr>
      <w:r>
        <w:rPr>
          <w:sz w:val="20"/>
        </w:rPr>
        <w:t xml:space="preserve">В 2020 году в целях поддержки экономики наряду с федеральными мерами поддержки в период обострения коронавирусной инфекции дополнительно на региональном уровне для пострадавших отраслей:</w:t>
      </w:r>
    </w:p>
    <w:p>
      <w:pPr>
        <w:pStyle w:val="0"/>
        <w:spacing w:before="200" w:line-rule="auto"/>
        <w:ind w:firstLine="540"/>
        <w:jc w:val="both"/>
      </w:pPr>
      <w:r>
        <w:rPr>
          <w:sz w:val="20"/>
        </w:rPr>
        <w:t xml:space="preserve">- максимально снижены ставки по налогу, взимаемому в связи с применением упрощенной системы налогообложения;</w:t>
      </w:r>
    </w:p>
    <w:p>
      <w:pPr>
        <w:pStyle w:val="0"/>
        <w:spacing w:before="200" w:line-rule="auto"/>
        <w:ind w:firstLine="540"/>
        <w:jc w:val="both"/>
      </w:pPr>
      <w:r>
        <w:rPr>
          <w:sz w:val="20"/>
        </w:rPr>
        <w:t xml:space="preserve">- в два раза снижена налогооблагаемая база (годовой доход) по налогу, взимаемому в связи с применением патентной системы налогообложения;</w:t>
      </w:r>
    </w:p>
    <w:p>
      <w:pPr>
        <w:pStyle w:val="0"/>
        <w:spacing w:before="200" w:line-rule="auto"/>
        <w:ind w:firstLine="540"/>
        <w:jc w:val="both"/>
      </w:pPr>
      <w:r>
        <w:rPr>
          <w:sz w:val="20"/>
        </w:rPr>
        <w:t xml:space="preserve">- на 50% снижена ставка по транспортному налогу для плательщиков, осуществляющих пассажирские и грузовые перевозки;</w:t>
      </w:r>
    </w:p>
    <w:p>
      <w:pPr>
        <w:pStyle w:val="0"/>
        <w:spacing w:before="200" w:line-rule="auto"/>
        <w:ind w:firstLine="540"/>
        <w:jc w:val="both"/>
      </w:pPr>
      <w:r>
        <w:rPr>
          <w:sz w:val="20"/>
        </w:rPr>
        <w:t xml:space="preserve">- установлена льгота по налогу на имущество для арендодателей, снизивших для пострадавших в период пандемии предпринимателей размер арендных платежей.</w:t>
      </w:r>
    </w:p>
    <w:p>
      <w:pPr>
        <w:pStyle w:val="0"/>
        <w:spacing w:before="200" w:line-rule="auto"/>
        <w:ind w:firstLine="540"/>
        <w:jc w:val="both"/>
      </w:pPr>
      <w:r>
        <w:rPr>
          <w:sz w:val="20"/>
        </w:rPr>
        <w:t xml:space="preserve">Реализован обширный перечень мер поддержки путем:</w:t>
      </w:r>
    </w:p>
    <w:p>
      <w:pPr>
        <w:pStyle w:val="0"/>
        <w:spacing w:before="200" w:line-rule="auto"/>
        <w:ind w:firstLine="540"/>
        <w:jc w:val="both"/>
      </w:pPr>
      <w:r>
        <w:rPr>
          <w:sz w:val="20"/>
        </w:rPr>
        <w:t xml:space="preserve">- продления "налоговых каникул" до 2024 года для впервые зарегистрированных предпринимателей по налогам, взимаемым в связи с применением упрощенной и патентной системам налогообложения;</w:t>
      </w:r>
    </w:p>
    <w:p>
      <w:pPr>
        <w:pStyle w:val="0"/>
        <w:spacing w:before="200" w:line-rule="auto"/>
        <w:ind w:firstLine="540"/>
        <w:jc w:val="both"/>
      </w:pPr>
      <w:r>
        <w:rPr>
          <w:sz w:val="20"/>
        </w:rPr>
        <w:t xml:space="preserve">- введения с 1 июля 2020 года налога на профессиональный доход для "самозанятых" граждан.</w:t>
      </w:r>
    </w:p>
    <w:p>
      <w:pPr>
        <w:pStyle w:val="0"/>
        <w:spacing w:before="200" w:line-rule="auto"/>
        <w:ind w:firstLine="540"/>
        <w:jc w:val="both"/>
      </w:pPr>
      <w:r>
        <w:rPr>
          <w:sz w:val="20"/>
        </w:rPr>
        <w:t xml:space="preserve">Сохранены установленные областным законодательством налоговые льготы инвесторам и субъектам малого и среднего предпринимательства.</w:t>
      </w:r>
    </w:p>
    <w:p>
      <w:pPr>
        <w:pStyle w:val="0"/>
        <w:spacing w:before="200" w:line-rule="auto"/>
        <w:ind w:firstLine="540"/>
        <w:jc w:val="both"/>
      </w:pPr>
      <w:r>
        <w:rPr>
          <w:sz w:val="20"/>
        </w:rPr>
        <w:t xml:space="preserve">В целом в развитие экономики области в 2020 году вложено 8251 млн. рублей - это налоговые расходы областного бюджета (льготы, преференции и налоговые вычеты).</w:t>
      </w:r>
    </w:p>
    <w:p>
      <w:pPr>
        <w:pStyle w:val="0"/>
        <w:spacing w:before="200" w:line-rule="auto"/>
        <w:ind w:firstLine="540"/>
        <w:jc w:val="both"/>
      </w:pPr>
      <w:r>
        <w:rPr>
          <w:sz w:val="20"/>
        </w:rPr>
        <w:t xml:space="preserve">Созданный инвестиционный климат в регионе способствовал вложению инвестиций в 2020 году в объеме 93,4 млрд. рублей с ростом 101,6% в сопоставимых ценах к уровню 2019 года.</w:t>
      </w:r>
    </w:p>
    <w:p>
      <w:pPr>
        <w:pStyle w:val="0"/>
        <w:spacing w:before="200" w:line-rule="auto"/>
        <w:ind w:firstLine="540"/>
        <w:jc w:val="both"/>
      </w:pPr>
      <w:r>
        <w:rPr>
          <w:sz w:val="20"/>
        </w:rPr>
        <w:t xml:space="preserve">В 2020 году продолжена реализация следующих крупных инвестиционных проектов:</w:t>
      </w:r>
    </w:p>
    <w:p>
      <w:pPr>
        <w:pStyle w:val="0"/>
        <w:spacing w:before="200" w:line-rule="auto"/>
        <w:ind w:firstLine="540"/>
        <w:jc w:val="both"/>
      </w:pPr>
      <w:r>
        <w:rPr>
          <w:sz w:val="20"/>
        </w:rPr>
        <w:t xml:space="preserve">- строительство 2-й очереди дата-центра ООО "Яндекс ДЦ Владимир";</w:t>
      </w:r>
    </w:p>
    <w:p>
      <w:pPr>
        <w:pStyle w:val="0"/>
        <w:spacing w:before="200" w:line-rule="auto"/>
        <w:ind w:firstLine="540"/>
        <w:jc w:val="both"/>
      </w:pPr>
      <w:r>
        <w:rPr>
          <w:sz w:val="20"/>
        </w:rPr>
        <w:t xml:space="preserve">- строительство завода по производству ориентированно-стружечных плит ЗАО "Муром";</w:t>
      </w:r>
    </w:p>
    <w:p>
      <w:pPr>
        <w:pStyle w:val="0"/>
        <w:spacing w:before="200" w:line-rule="auto"/>
        <w:ind w:firstLine="540"/>
        <w:jc w:val="both"/>
      </w:pPr>
      <w:r>
        <w:rPr>
          <w:sz w:val="20"/>
        </w:rPr>
        <w:t xml:space="preserve">- расширение действующего производства фармацевтической продукции, а также строительство склада и котельной ООО "Лекко";</w:t>
      </w:r>
    </w:p>
    <w:p>
      <w:pPr>
        <w:pStyle w:val="0"/>
        <w:spacing w:before="200" w:line-rule="auto"/>
        <w:ind w:firstLine="540"/>
        <w:jc w:val="both"/>
      </w:pPr>
      <w:r>
        <w:rPr>
          <w:sz w:val="20"/>
        </w:rPr>
        <w:t xml:space="preserve">- производство электросварных труб ООО "НТС-Лидер";</w:t>
      </w:r>
    </w:p>
    <w:p>
      <w:pPr>
        <w:pStyle w:val="0"/>
        <w:spacing w:before="200" w:line-rule="auto"/>
        <w:ind w:firstLine="540"/>
        <w:jc w:val="both"/>
      </w:pPr>
      <w:r>
        <w:rPr>
          <w:sz w:val="20"/>
        </w:rPr>
        <w:t xml:space="preserve">- строительство дополнительного цеха для расширения производства биологических препаратов АО "Генериум";</w:t>
      </w:r>
    </w:p>
    <w:p>
      <w:pPr>
        <w:pStyle w:val="0"/>
        <w:spacing w:before="200" w:line-rule="auto"/>
        <w:ind w:firstLine="540"/>
        <w:jc w:val="both"/>
      </w:pPr>
      <w:r>
        <w:rPr>
          <w:sz w:val="20"/>
        </w:rPr>
        <w:t xml:space="preserve">- строительство завода по производству мяса утки ООО "УК "Русское поле";</w:t>
      </w:r>
    </w:p>
    <w:p>
      <w:pPr>
        <w:pStyle w:val="0"/>
        <w:spacing w:before="200" w:line-rule="auto"/>
        <w:ind w:firstLine="540"/>
        <w:jc w:val="both"/>
      </w:pPr>
      <w:r>
        <w:rPr>
          <w:sz w:val="20"/>
        </w:rPr>
        <w:t xml:space="preserve">- развитие мясоперерабатывающего комплекса МПК "Владимирский стандарт";</w:t>
      </w:r>
    </w:p>
    <w:p>
      <w:pPr>
        <w:pStyle w:val="0"/>
        <w:spacing w:before="200" w:line-rule="auto"/>
        <w:ind w:firstLine="540"/>
        <w:jc w:val="both"/>
      </w:pPr>
      <w:r>
        <w:rPr>
          <w:sz w:val="20"/>
        </w:rPr>
        <w:t xml:space="preserve">- расширение действующего производства, открытие новой линии по производству кондитерских изделий ООО "Мон'дэлис Русь";</w:t>
      </w:r>
    </w:p>
    <w:p>
      <w:pPr>
        <w:pStyle w:val="0"/>
        <w:spacing w:before="200" w:line-rule="auto"/>
        <w:ind w:firstLine="540"/>
        <w:jc w:val="both"/>
      </w:pPr>
      <w:r>
        <w:rPr>
          <w:sz w:val="20"/>
        </w:rPr>
        <w:t xml:space="preserve">- открытие новой линии по прокату листовой стали, оцинковке и покраске стали ООО "Объединенная компания "Рустехнологии Муром";</w:t>
      </w:r>
    </w:p>
    <w:p>
      <w:pPr>
        <w:pStyle w:val="0"/>
        <w:spacing w:before="200" w:line-rule="auto"/>
        <w:ind w:firstLine="540"/>
        <w:jc w:val="both"/>
      </w:pPr>
      <w:r>
        <w:rPr>
          <w:sz w:val="20"/>
        </w:rPr>
        <w:t xml:space="preserve">- создание производства по выпуску металлоизделий (шаров для шаровых мельниц) ООО "Владимирский шаропрокатный завод";</w:t>
      </w:r>
    </w:p>
    <w:p>
      <w:pPr>
        <w:pStyle w:val="0"/>
        <w:spacing w:before="200" w:line-rule="auto"/>
        <w:ind w:firstLine="540"/>
        <w:jc w:val="both"/>
      </w:pPr>
      <w:r>
        <w:rPr>
          <w:sz w:val="20"/>
        </w:rPr>
        <w:t xml:space="preserve">- строительство комбикормового завода и логистического центра НПАО "Де Хес";</w:t>
      </w:r>
    </w:p>
    <w:p>
      <w:pPr>
        <w:pStyle w:val="0"/>
        <w:spacing w:before="200" w:line-rule="auto"/>
        <w:ind w:firstLine="540"/>
        <w:jc w:val="both"/>
      </w:pPr>
      <w:r>
        <w:rPr>
          <w:sz w:val="20"/>
        </w:rPr>
        <w:t xml:space="preserve">- строительство животноводческого комплекса крупного рогатого скота ООО "Тарбаево";</w:t>
      </w:r>
    </w:p>
    <w:p>
      <w:pPr>
        <w:pStyle w:val="0"/>
        <w:spacing w:before="200" w:line-rule="auto"/>
        <w:ind w:firstLine="540"/>
        <w:jc w:val="both"/>
      </w:pPr>
      <w:r>
        <w:rPr>
          <w:sz w:val="20"/>
        </w:rPr>
        <w:t xml:space="preserve">- организация производства торфяных субстратов ООО "Апекс Агро";</w:t>
      </w:r>
    </w:p>
    <w:p>
      <w:pPr>
        <w:pStyle w:val="0"/>
        <w:spacing w:before="200" w:line-rule="auto"/>
        <w:ind w:firstLine="540"/>
        <w:jc w:val="both"/>
      </w:pPr>
      <w:r>
        <w:rPr>
          <w:sz w:val="20"/>
        </w:rPr>
        <w:t xml:space="preserve">- строительство 2-й очереди научно-производственного комплекса по выпуску автобусов и линии серийной сборки электробусов "Бакулин Моторс Групп";</w:t>
      </w:r>
    </w:p>
    <w:p>
      <w:pPr>
        <w:pStyle w:val="0"/>
        <w:spacing w:before="200" w:line-rule="auto"/>
        <w:ind w:firstLine="540"/>
        <w:jc w:val="both"/>
      </w:pPr>
      <w:r>
        <w:rPr>
          <w:sz w:val="20"/>
        </w:rPr>
        <w:t xml:space="preserve">- строительство предприятия по производству сухарей и снэков АО "Владимирский хлебокомбинат";</w:t>
      </w:r>
    </w:p>
    <w:p>
      <w:pPr>
        <w:pStyle w:val="0"/>
        <w:spacing w:before="200" w:line-rule="auto"/>
        <w:ind w:firstLine="540"/>
        <w:jc w:val="both"/>
      </w:pPr>
      <w:r>
        <w:rPr>
          <w:sz w:val="20"/>
        </w:rPr>
        <w:t xml:space="preserve">- строительство завода по производству холоднокатаного проката стали ООО "Объединенная компания "Рустехнологии Муром";</w:t>
      </w:r>
    </w:p>
    <w:p>
      <w:pPr>
        <w:pStyle w:val="0"/>
        <w:spacing w:before="200" w:line-rule="auto"/>
        <w:ind w:firstLine="540"/>
        <w:jc w:val="both"/>
      </w:pPr>
      <w:r>
        <w:rPr>
          <w:sz w:val="20"/>
        </w:rPr>
        <w:t xml:space="preserve">- развитие и расширение производственных мощностей кондитерской фабрики ЗАО "Ферреро Руссия";</w:t>
      </w:r>
    </w:p>
    <w:p>
      <w:pPr>
        <w:pStyle w:val="0"/>
        <w:spacing w:before="200" w:line-rule="auto"/>
        <w:ind w:firstLine="540"/>
        <w:jc w:val="both"/>
      </w:pPr>
      <w:r>
        <w:rPr>
          <w:sz w:val="20"/>
        </w:rPr>
        <w:t xml:space="preserve">- строительство новой линии цинкования ООО "НПО МуромЭнергоМаш";</w:t>
      </w:r>
    </w:p>
    <w:p>
      <w:pPr>
        <w:pStyle w:val="0"/>
        <w:spacing w:before="200" w:line-rule="auto"/>
        <w:ind w:firstLine="540"/>
        <w:jc w:val="both"/>
      </w:pPr>
      <w:r>
        <w:rPr>
          <w:sz w:val="20"/>
        </w:rPr>
        <w:t xml:space="preserve">- развитие производства колбасных изделий, строительство супермаркета ООО "Владимирский стандарт";</w:t>
      </w:r>
    </w:p>
    <w:p>
      <w:pPr>
        <w:pStyle w:val="0"/>
        <w:spacing w:before="200" w:line-rule="auto"/>
        <w:ind w:firstLine="540"/>
        <w:jc w:val="both"/>
      </w:pPr>
      <w:r>
        <w:rPr>
          <w:sz w:val="20"/>
        </w:rPr>
        <w:t xml:space="preserve">- строительство гильзонавивочной машины ООО "Управляющая компания "Николь - Пак Империал";</w:t>
      </w:r>
    </w:p>
    <w:p>
      <w:pPr>
        <w:pStyle w:val="0"/>
        <w:spacing w:before="200" w:line-rule="auto"/>
        <w:ind w:firstLine="540"/>
        <w:jc w:val="both"/>
      </w:pPr>
      <w:r>
        <w:rPr>
          <w:sz w:val="20"/>
        </w:rPr>
        <w:t xml:space="preserve">- создание производства высокотехнологичных узлов и их комплектующих завод среднего машиностроения в ОЭЗ "Доброград-1";</w:t>
      </w:r>
    </w:p>
    <w:p>
      <w:pPr>
        <w:pStyle w:val="0"/>
        <w:spacing w:before="200" w:line-rule="auto"/>
        <w:ind w:firstLine="540"/>
        <w:jc w:val="both"/>
      </w:pPr>
      <w:r>
        <w:rPr>
          <w:sz w:val="20"/>
        </w:rPr>
        <w:t xml:space="preserve">- создание мебельного производства ООО "Литвуд" в ОЭЗ "Доброград-1";</w:t>
      </w:r>
    </w:p>
    <w:p>
      <w:pPr>
        <w:pStyle w:val="0"/>
        <w:spacing w:before="200" w:line-rule="auto"/>
        <w:ind w:firstLine="540"/>
        <w:jc w:val="both"/>
      </w:pPr>
      <w:r>
        <w:rPr>
          <w:sz w:val="20"/>
        </w:rPr>
        <w:t xml:space="preserve">- организация современного высокотехнологичного производства высококачественного упаковочного нетканого материала ИП Лукьянова Е.Л. в ОЭЗ "Доброград-1".</w:t>
      </w:r>
    </w:p>
    <w:p>
      <w:pPr>
        <w:pStyle w:val="0"/>
        <w:spacing w:before="200" w:line-rule="auto"/>
        <w:ind w:firstLine="540"/>
        <w:jc w:val="both"/>
      </w:pPr>
      <w:r>
        <w:rPr>
          <w:sz w:val="20"/>
        </w:rPr>
        <w:t xml:space="preserve">В 2020 году государственную поддержку при реализации одобренных инвестиционных проектов получили 13 организаций области. Оценочно сумма государственной поддержки в результате предоставления налоговых льгот составила 293,7 млн. рублей, в том числе по налогу на прибыль организаций - 123 млн. рублей, по налогу на имущество организаций - 170,7 млн. рублей. Организациями-инвесторами уплачено налогов в 2020 году в консолидированный бюджет области на сумму 1249,9 млн. рублей, во внебюджетные фонды - 464,4 млн. рублей, экспортных и импортных пошлин - 1841,4 млн. рублей.</w:t>
      </w:r>
    </w:p>
    <w:p>
      <w:pPr>
        <w:pStyle w:val="0"/>
        <w:spacing w:before="200" w:line-rule="auto"/>
        <w:ind w:firstLine="540"/>
        <w:jc w:val="both"/>
      </w:pPr>
      <w:r>
        <w:rPr>
          <w:sz w:val="20"/>
        </w:rPr>
        <w:t xml:space="preserve">Объем осуществленных инвестиций, направленных на реализацию одобренных инвестиционных проектов, составил 21,9 млрд. рублей (нарастающий итог с начала реализации инвестиционных проектов), на каждый рубль льгот приходится 11,3 рубля инвестиций.</w:t>
      </w:r>
    </w:p>
    <w:p>
      <w:pPr>
        <w:pStyle w:val="0"/>
        <w:spacing w:before="200" w:line-rule="auto"/>
        <w:ind w:firstLine="540"/>
        <w:jc w:val="both"/>
      </w:pPr>
      <w:r>
        <w:rPr>
          <w:sz w:val="20"/>
        </w:rPr>
        <w:t xml:space="preserve">Новые производства обеспечивают ежегодный прирост высокопроизводительных рабочих мест с достойным уровнем заработной платы, создавая положительный социальный эффект от реализации инвестиционных проектов.</w:t>
      </w:r>
    </w:p>
    <w:p>
      <w:pPr>
        <w:pStyle w:val="0"/>
        <w:spacing w:before="200" w:line-rule="auto"/>
        <w:ind w:firstLine="540"/>
        <w:jc w:val="both"/>
      </w:pPr>
      <w:r>
        <w:rPr>
          <w:sz w:val="20"/>
        </w:rPr>
        <w:t xml:space="preserve">Особое внимание в области уделяется поддержке представителям малого и среднего бизнеса.</w:t>
      </w:r>
    </w:p>
    <w:p>
      <w:pPr>
        <w:pStyle w:val="0"/>
        <w:spacing w:before="200" w:line-rule="auto"/>
        <w:ind w:firstLine="540"/>
        <w:jc w:val="both"/>
      </w:pPr>
      <w:r>
        <w:rPr>
          <w:sz w:val="20"/>
        </w:rPr>
        <w:t xml:space="preserve">В прошедшем году на поддержку малого и среднего бизнеса направлено 788,4 млн. рублей. Всего за 2020 год получили поддержку 7111 субъектов малого и среднего предпринимательства, ими создано 1139 новых рабочих мест.</w:t>
      </w:r>
    </w:p>
    <w:p>
      <w:pPr>
        <w:pStyle w:val="0"/>
        <w:spacing w:before="200" w:line-rule="auto"/>
        <w:ind w:firstLine="540"/>
        <w:jc w:val="both"/>
      </w:pPr>
      <w:r>
        <w:rPr>
          <w:sz w:val="20"/>
        </w:rPr>
        <w:t xml:space="preserve">С 1 июля 2020 года на территории Владимирской области введен налог на профессиональный доход. </w:t>
      </w:r>
      <w:hyperlink w:history="0" r:id="rId12" w:tooltip="Закон Владимирской области от 29.05.2020 N 37-ОЗ &quot;О введении в действие на территории Владимирской области специального налогового режима &quot;Налог на профессиональный доход&quot; (принят постановлением ЗС Владимирской области от 28.05.2020 N 135) {КонсультантПлюс}">
        <w:r>
          <w:rPr>
            <w:sz w:val="20"/>
            <w:color w:val="0000ff"/>
          </w:rPr>
          <w:t xml:space="preserve">Закон</w:t>
        </w:r>
      </w:hyperlink>
      <w:r>
        <w:rPr>
          <w:sz w:val="20"/>
        </w:rPr>
        <w:t xml:space="preserve"> области от 29 мая 2020 г. N 37-ОЗ "О введении в действие на территории Владимирской области специального налогового режима "Налог на профессиональный доход" направлен на предоставление наиболее широкому кругу граждан возможности вести предпринимательскую деятельность в наиболее комфортных условиях, выбрав систему налогообложения в виде налога на профессиональный доход. Востребованность данного режима налогообложения объясняется тем, что он предоставляет "самозанятым" гражданам право легализовать свою предпринимательскую деятельность с минимальными издержками и вести ее в дальнейшем в наиболее простом и необременительном режиме (онлайн-регистрация, не требующая личного присутствия; отсутствие отчетности; ведение деятельности без применения контрольно-кассовой техники; налоговая ставка установлена для физических лиц в размере 4 процентов, для индивидуальных предпринимателей - 6 процентов вместо уплаты налога на доходы физических лиц по ставке 13 процентов). Установление налога на территории области не имеет своей целью получение дополнительных доходов. Введение указанного специального налогового режима позволит "самозанятым" гражданам воспользоваться всеми мерами государственной поддержки, которая сейчас доступна для малого и среднего бизнеса, а также будет способствовать сокращению роста безработных граждан.</w:t>
      </w:r>
    </w:p>
    <w:p>
      <w:pPr>
        <w:pStyle w:val="0"/>
        <w:spacing w:before="200" w:line-rule="auto"/>
        <w:ind w:firstLine="540"/>
        <w:jc w:val="both"/>
      </w:pPr>
      <w:r>
        <w:rPr>
          <w:sz w:val="20"/>
        </w:rPr>
        <w:t xml:space="preserve">Одним из направлений работы по росту доходного потенциала области является реализация мер по повышению эффективности налогового администрирования.</w:t>
      </w:r>
    </w:p>
    <w:p>
      <w:pPr>
        <w:pStyle w:val="0"/>
        <w:spacing w:before="200" w:line-rule="auto"/>
        <w:ind w:firstLine="540"/>
        <w:jc w:val="both"/>
      </w:pPr>
      <w:r>
        <w:rPr>
          <w:sz w:val="20"/>
        </w:rPr>
        <w:t xml:space="preserve">В области принимаются меры по легализации "теневой" заработной платы. По итогам 2020 года проведена индивидуальная работа с 643 работодателями, которые выплачивают заработную плату ниже среднего показателя по виду экономической деятельности и ниже минимального размера оплаты труда и имеют задолженность по налогу на доходы физических лиц. В результате проведенной работы дополнительно поступило в консолидированный бюджет области налога на доходы физических лиц в сумме 119,4 млн. рублей.</w:t>
      </w:r>
    </w:p>
    <w:p>
      <w:pPr>
        <w:pStyle w:val="0"/>
        <w:spacing w:before="200" w:line-rule="auto"/>
        <w:ind w:firstLine="540"/>
        <w:jc w:val="both"/>
      </w:pPr>
      <w:r>
        <w:rPr>
          <w:sz w:val="20"/>
        </w:rPr>
        <w:t xml:space="preserve">Проводились рейдовые мероприятия по выявлению физических лиц, уклоняющихся от декларирования доходов, полученных от сдачи в аренду имущества, а также продажи имущества. По итогам проведенных мероприятий 235 физических лиц задекларировали доходы от сдачи в аренду имущества, 256 физических лиц - доходы от продажи имущества. Дополнительные поступления в консолидированный бюджет области налога на доходы физических лиц составили 5,9 млн. рублей.</w:t>
      </w:r>
    </w:p>
    <w:p>
      <w:pPr>
        <w:pStyle w:val="0"/>
        <w:spacing w:before="200" w:line-rule="auto"/>
        <w:ind w:firstLine="540"/>
        <w:jc w:val="both"/>
      </w:pPr>
      <w:r>
        <w:rPr>
          <w:sz w:val="20"/>
        </w:rPr>
        <w:t xml:space="preserve">В 2020 году продолжена работа по реализации "дорожных карт", разработанных межведомственной рабочей группой по повышению собираемости местных налогов.</w:t>
      </w:r>
    </w:p>
    <w:p>
      <w:pPr>
        <w:pStyle w:val="0"/>
        <w:spacing w:before="200" w:line-rule="auto"/>
        <w:ind w:firstLine="540"/>
        <w:jc w:val="both"/>
      </w:pPr>
      <w:r>
        <w:rPr>
          <w:sz w:val="20"/>
        </w:rPr>
        <w:t xml:space="preserve">В течение года органами местного самоуправления уточнены сведения по 36,5 тысячам земельным участкам и 21,9 тысячам объектам недвижимости. В результате дополнительно начислено налоговыми органами земельного налога в сумме 1,8 млн. рублей, налога на имущество физических лиц - 0,9 млн. рублей.</w:t>
      </w:r>
    </w:p>
    <w:p>
      <w:pPr>
        <w:pStyle w:val="0"/>
        <w:spacing w:before="200" w:line-rule="auto"/>
        <w:ind w:firstLine="540"/>
        <w:jc w:val="both"/>
      </w:pPr>
      <w:r>
        <w:rPr>
          <w:sz w:val="20"/>
        </w:rPr>
        <w:t xml:space="preserve">В ходе проведенных органами местного самоуправления в 2020 году рейдовых мероприятий с участием налоговых органов было выявлено 2186 объектов недвижимости, которые не состояли на кадастровом и налоговом учетах. В отношении 1304 объектов гражданами были зарегистрированы права собственности.</w:t>
      </w:r>
    </w:p>
    <w:p>
      <w:pPr>
        <w:pStyle w:val="0"/>
        <w:spacing w:before="200" w:line-rule="auto"/>
        <w:ind w:firstLine="540"/>
        <w:jc w:val="both"/>
      </w:pPr>
      <w:r>
        <w:rPr>
          <w:sz w:val="20"/>
        </w:rPr>
        <w:t xml:space="preserve">В целях повышения уровня собираемости имущественных налогов с физических лиц, а также предоставления жителям региона возможности получить консультации по вопросам исчисления налогов в области организована работа "мобильных офисов" для уплаты гражданами налогов на территории сельских населенных пунктов. В 2020 году проведено 94 выезда "мобильных офисов", уплачено налоговых платежей в бюджеты муниципальных образований на сумму 557,3 тыс. рублей.</w:t>
      </w:r>
    </w:p>
    <w:p>
      <w:pPr>
        <w:pStyle w:val="0"/>
        <w:spacing w:before="200" w:line-rule="auto"/>
        <w:ind w:firstLine="540"/>
        <w:jc w:val="both"/>
      </w:pPr>
      <w:r>
        <w:rPr>
          <w:sz w:val="20"/>
        </w:rPr>
        <w:t xml:space="preserve">В результате реализации налоговой политики объем поступлений налоговых и неналоговых доходов в консолидированный бюджет области составил в 2020 году 62830,0 млн. рублей, или 104,5% к 2019 году (таблица 1).</w:t>
      </w:r>
    </w:p>
    <w:p>
      <w:pPr>
        <w:pStyle w:val="0"/>
        <w:jc w:val="both"/>
      </w:pPr>
      <w:r>
        <w:rPr>
          <w:sz w:val="20"/>
        </w:rPr>
      </w:r>
    </w:p>
    <w:p>
      <w:pPr>
        <w:pStyle w:val="0"/>
        <w:jc w:val="right"/>
      </w:pPr>
      <w:r>
        <w:rPr>
          <w:sz w:val="20"/>
        </w:rPr>
        <w:t xml:space="preserve">Таблица 1</w:t>
      </w:r>
    </w:p>
    <w:p>
      <w:pPr>
        <w:pStyle w:val="0"/>
        <w:jc w:val="both"/>
      </w:pPr>
      <w:r>
        <w:rPr>
          <w:sz w:val="20"/>
        </w:rPr>
      </w:r>
    </w:p>
    <w:p>
      <w:pPr>
        <w:pStyle w:val="0"/>
        <w:jc w:val="center"/>
      </w:pPr>
      <w:r>
        <w:rPr>
          <w:sz w:val="20"/>
        </w:rPr>
        <w:t xml:space="preserve">Поступление</w:t>
      </w:r>
    </w:p>
    <w:p>
      <w:pPr>
        <w:pStyle w:val="0"/>
        <w:jc w:val="center"/>
      </w:pPr>
      <w:r>
        <w:rPr>
          <w:sz w:val="20"/>
        </w:rPr>
        <w:t xml:space="preserve">налоговых и неналоговых доходов в консолидированный</w:t>
      </w:r>
    </w:p>
    <w:p>
      <w:pPr>
        <w:pStyle w:val="0"/>
        <w:jc w:val="center"/>
      </w:pPr>
      <w:r>
        <w:rPr>
          <w:sz w:val="20"/>
        </w:rPr>
        <w:t xml:space="preserve">бюджет области за 2020 год</w:t>
      </w:r>
    </w:p>
    <w:p>
      <w:pPr>
        <w:pStyle w:val="0"/>
        <w:jc w:val="both"/>
      </w:pPr>
      <w:r>
        <w:rPr>
          <w:sz w:val="20"/>
        </w:rPr>
      </w:r>
    </w:p>
    <w:p>
      <w:pPr>
        <w:pStyle w:val="0"/>
        <w:jc w:val="right"/>
      </w:pPr>
      <w:r>
        <w:rPr>
          <w:sz w:val="20"/>
        </w:rPr>
        <w:t xml:space="preserve">млн.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1415"/>
        <w:gridCol w:w="1619"/>
        <w:gridCol w:w="1417"/>
        <w:gridCol w:w="1076"/>
        <w:gridCol w:w="1076"/>
      </w:tblGrid>
      <w:tr>
        <w:tc>
          <w:tcPr>
            <w:tcW w:w="2438" w:type="dxa"/>
            <w:vMerge w:val="restart"/>
          </w:tcPr>
          <w:p>
            <w:pPr>
              <w:pStyle w:val="0"/>
              <w:jc w:val="center"/>
            </w:pPr>
            <w:r>
              <w:rPr>
                <w:sz w:val="20"/>
              </w:rPr>
              <w:t xml:space="preserve">Показатели</w:t>
            </w:r>
          </w:p>
        </w:tc>
        <w:tc>
          <w:tcPr>
            <w:tcW w:w="1415" w:type="dxa"/>
            <w:vMerge w:val="restart"/>
          </w:tcPr>
          <w:p>
            <w:pPr>
              <w:pStyle w:val="0"/>
              <w:jc w:val="center"/>
            </w:pPr>
            <w:r>
              <w:rPr>
                <w:sz w:val="20"/>
              </w:rPr>
              <w:t xml:space="preserve">Исполнено за 2019 год</w:t>
            </w:r>
          </w:p>
        </w:tc>
        <w:tc>
          <w:tcPr>
            <w:tcW w:w="1619" w:type="dxa"/>
            <w:vMerge w:val="restart"/>
          </w:tcPr>
          <w:p>
            <w:pPr>
              <w:pStyle w:val="0"/>
              <w:jc w:val="center"/>
            </w:pPr>
            <w:r>
              <w:rPr>
                <w:sz w:val="20"/>
              </w:rPr>
              <w:t xml:space="preserve">Уточненный план на 2020 год</w:t>
            </w:r>
          </w:p>
        </w:tc>
        <w:tc>
          <w:tcPr>
            <w:tcW w:w="1417" w:type="dxa"/>
            <w:vMerge w:val="restart"/>
          </w:tcPr>
          <w:p>
            <w:pPr>
              <w:pStyle w:val="0"/>
              <w:jc w:val="center"/>
            </w:pPr>
            <w:r>
              <w:rPr>
                <w:sz w:val="20"/>
              </w:rPr>
              <w:t xml:space="preserve">Исполнено за 2020 год</w:t>
            </w:r>
          </w:p>
        </w:tc>
        <w:tc>
          <w:tcPr>
            <w:gridSpan w:val="2"/>
            <w:tcW w:w="2152" w:type="dxa"/>
          </w:tcPr>
          <w:p>
            <w:pPr>
              <w:pStyle w:val="0"/>
              <w:jc w:val="center"/>
            </w:pPr>
            <w:r>
              <w:rPr>
                <w:sz w:val="20"/>
              </w:rPr>
              <w:t xml:space="preserve">% исполнения факта 2020 года</w:t>
            </w:r>
          </w:p>
        </w:tc>
      </w:tr>
      <w:tr>
        <w:tc>
          <w:tcPr>
            <w:vMerge w:val="continue"/>
          </w:tcPr>
          <w:p/>
        </w:tc>
        <w:tc>
          <w:tcPr>
            <w:vMerge w:val="continue"/>
          </w:tcPr>
          <w:p/>
        </w:tc>
        <w:tc>
          <w:tcPr>
            <w:vMerge w:val="continue"/>
          </w:tcPr>
          <w:p/>
        </w:tc>
        <w:tc>
          <w:tcPr>
            <w:vMerge w:val="continue"/>
          </w:tcPr>
          <w:p/>
        </w:tc>
        <w:tc>
          <w:tcPr>
            <w:tcW w:w="1076" w:type="dxa"/>
          </w:tcPr>
          <w:p>
            <w:pPr>
              <w:pStyle w:val="0"/>
              <w:jc w:val="center"/>
            </w:pPr>
            <w:r>
              <w:rPr>
                <w:sz w:val="20"/>
              </w:rPr>
              <w:t xml:space="preserve">к уточненному плану на 2020 год</w:t>
            </w:r>
          </w:p>
        </w:tc>
        <w:tc>
          <w:tcPr>
            <w:tcW w:w="1076" w:type="dxa"/>
          </w:tcPr>
          <w:p>
            <w:pPr>
              <w:pStyle w:val="0"/>
              <w:jc w:val="center"/>
            </w:pPr>
            <w:r>
              <w:rPr>
                <w:sz w:val="20"/>
              </w:rPr>
              <w:t xml:space="preserve">к 2019 году</w:t>
            </w:r>
          </w:p>
        </w:tc>
      </w:tr>
      <w:tr>
        <w:tc>
          <w:tcPr>
            <w:tcW w:w="2438" w:type="dxa"/>
          </w:tcPr>
          <w:p>
            <w:pPr>
              <w:pStyle w:val="0"/>
              <w:jc w:val="center"/>
            </w:pPr>
            <w:r>
              <w:rPr>
                <w:sz w:val="20"/>
              </w:rPr>
              <w:t xml:space="preserve">1</w:t>
            </w:r>
          </w:p>
        </w:tc>
        <w:tc>
          <w:tcPr>
            <w:tcW w:w="1415" w:type="dxa"/>
          </w:tcPr>
          <w:p>
            <w:pPr>
              <w:pStyle w:val="0"/>
              <w:jc w:val="center"/>
            </w:pPr>
            <w:r>
              <w:rPr>
                <w:sz w:val="20"/>
              </w:rPr>
              <w:t xml:space="preserve">2</w:t>
            </w:r>
          </w:p>
        </w:tc>
        <w:tc>
          <w:tcPr>
            <w:tcW w:w="1619" w:type="dxa"/>
          </w:tcPr>
          <w:p>
            <w:pPr>
              <w:pStyle w:val="0"/>
              <w:jc w:val="center"/>
            </w:pPr>
            <w:r>
              <w:rPr>
                <w:sz w:val="20"/>
              </w:rPr>
              <w:t xml:space="preserve">3</w:t>
            </w:r>
          </w:p>
        </w:tc>
        <w:tc>
          <w:tcPr>
            <w:tcW w:w="1417" w:type="dxa"/>
          </w:tcPr>
          <w:p>
            <w:pPr>
              <w:pStyle w:val="0"/>
              <w:jc w:val="center"/>
            </w:pPr>
            <w:r>
              <w:rPr>
                <w:sz w:val="20"/>
              </w:rPr>
              <w:t xml:space="preserve">4</w:t>
            </w:r>
          </w:p>
        </w:tc>
        <w:tc>
          <w:tcPr>
            <w:tcW w:w="1076" w:type="dxa"/>
          </w:tcPr>
          <w:p>
            <w:pPr>
              <w:pStyle w:val="0"/>
              <w:jc w:val="center"/>
            </w:pPr>
            <w:r>
              <w:rPr>
                <w:sz w:val="20"/>
              </w:rPr>
              <w:t xml:space="preserve">5</w:t>
            </w:r>
          </w:p>
        </w:tc>
        <w:tc>
          <w:tcPr>
            <w:tcW w:w="1076" w:type="dxa"/>
          </w:tcPr>
          <w:p>
            <w:pPr>
              <w:pStyle w:val="0"/>
              <w:jc w:val="center"/>
            </w:pPr>
            <w:r>
              <w:rPr>
                <w:sz w:val="20"/>
              </w:rPr>
              <w:t xml:space="preserve">6</w:t>
            </w:r>
          </w:p>
        </w:tc>
      </w:tr>
      <w:tr>
        <w:tc>
          <w:tcPr>
            <w:tcW w:w="2438" w:type="dxa"/>
          </w:tcPr>
          <w:p>
            <w:pPr>
              <w:pStyle w:val="0"/>
            </w:pPr>
            <w:r>
              <w:rPr>
                <w:sz w:val="20"/>
              </w:rPr>
              <w:t xml:space="preserve">Налоговые и неналоговые доходы, всего</w:t>
            </w:r>
          </w:p>
        </w:tc>
        <w:tc>
          <w:tcPr>
            <w:tcW w:w="1415" w:type="dxa"/>
          </w:tcPr>
          <w:p>
            <w:pPr>
              <w:pStyle w:val="0"/>
              <w:jc w:val="center"/>
            </w:pPr>
            <w:r>
              <w:rPr>
                <w:sz w:val="20"/>
              </w:rPr>
              <w:t xml:space="preserve">60127,5</w:t>
            </w:r>
          </w:p>
        </w:tc>
        <w:tc>
          <w:tcPr>
            <w:tcW w:w="1619" w:type="dxa"/>
          </w:tcPr>
          <w:p>
            <w:pPr>
              <w:pStyle w:val="0"/>
              <w:jc w:val="center"/>
            </w:pPr>
            <w:r>
              <w:rPr>
                <w:sz w:val="20"/>
              </w:rPr>
              <w:t xml:space="preserve">61197,9</w:t>
            </w:r>
          </w:p>
        </w:tc>
        <w:tc>
          <w:tcPr>
            <w:tcW w:w="1417" w:type="dxa"/>
          </w:tcPr>
          <w:p>
            <w:pPr>
              <w:pStyle w:val="0"/>
              <w:jc w:val="center"/>
            </w:pPr>
            <w:r>
              <w:rPr>
                <w:sz w:val="20"/>
              </w:rPr>
              <w:t xml:space="preserve">62830,0</w:t>
            </w:r>
          </w:p>
        </w:tc>
        <w:tc>
          <w:tcPr>
            <w:tcW w:w="1076" w:type="dxa"/>
          </w:tcPr>
          <w:p>
            <w:pPr>
              <w:pStyle w:val="0"/>
              <w:jc w:val="center"/>
            </w:pPr>
            <w:r>
              <w:rPr>
                <w:sz w:val="20"/>
              </w:rPr>
              <w:t xml:space="preserve">102,7</w:t>
            </w:r>
          </w:p>
        </w:tc>
        <w:tc>
          <w:tcPr>
            <w:tcW w:w="1076" w:type="dxa"/>
          </w:tcPr>
          <w:p>
            <w:pPr>
              <w:pStyle w:val="0"/>
              <w:jc w:val="center"/>
            </w:pPr>
            <w:r>
              <w:rPr>
                <w:sz w:val="20"/>
              </w:rPr>
              <w:t xml:space="preserve">104,5</w:t>
            </w:r>
          </w:p>
        </w:tc>
      </w:tr>
      <w:tr>
        <w:tc>
          <w:tcPr>
            <w:tcW w:w="2438" w:type="dxa"/>
          </w:tcPr>
          <w:p>
            <w:pPr>
              <w:pStyle w:val="0"/>
            </w:pPr>
            <w:r>
              <w:rPr>
                <w:sz w:val="20"/>
              </w:rPr>
              <w:t xml:space="preserve">в том числе:</w:t>
            </w:r>
          </w:p>
        </w:tc>
        <w:tc>
          <w:tcPr>
            <w:tcW w:w="1415" w:type="dxa"/>
          </w:tcPr>
          <w:p>
            <w:pPr>
              <w:pStyle w:val="0"/>
            </w:pPr>
            <w:r>
              <w:rPr>
                <w:sz w:val="20"/>
              </w:rPr>
            </w:r>
          </w:p>
        </w:tc>
        <w:tc>
          <w:tcPr>
            <w:tcW w:w="1619" w:type="dxa"/>
          </w:tcPr>
          <w:p>
            <w:pPr>
              <w:pStyle w:val="0"/>
            </w:pPr>
            <w:r>
              <w:rPr>
                <w:sz w:val="20"/>
              </w:rPr>
            </w:r>
          </w:p>
        </w:tc>
        <w:tc>
          <w:tcPr>
            <w:tcW w:w="1417" w:type="dxa"/>
          </w:tcPr>
          <w:p>
            <w:pPr>
              <w:pStyle w:val="0"/>
            </w:pPr>
            <w:r>
              <w:rPr>
                <w:sz w:val="20"/>
              </w:rPr>
            </w:r>
          </w:p>
        </w:tc>
        <w:tc>
          <w:tcPr>
            <w:tcW w:w="1076" w:type="dxa"/>
          </w:tcPr>
          <w:p>
            <w:pPr>
              <w:pStyle w:val="0"/>
            </w:pPr>
            <w:r>
              <w:rPr>
                <w:sz w:val="20"/>
              </w:rPr>
            </w:r>
          </w:p>
        </w:tc>
        <w:tc>
          <w:tcPr>
            <w:tcW w:w="1076" w:type="dxa"/>
          </w:tcPr>
          <w:p>
            <w:pPr>
              <w:pStyle w:val="0"/>
            </w:pPr>
            <w:r>
              <w:rPr>
                <w:sz w:val="20"/>
              </w:rPr>
            </w:r>
          </w:p>
        </w:tc>
      </w:tr>
      <w:tr>
        <w:tc>
          <w:tcPr>
            <w:tcW w:w="2438" w:type="dxa"/>
          </w:tcPr>
          <w:p>
            <w:pPr>
              <w:pStyle w:val="0"/>
            </w:pPr>
            <w:r>
              <w:rPr>
                <w:sz w:val="20"/>
              </w:rPr>
              <w:t xml:space="preserve">Налоговые доходы</w:t>
            </w:r>
          </w:p>
        </w:tc>
        <w:tc>
          <w:tcPr>
            <w:tcW w:w="1415" w:type="dxa"/>
          </w:tcPr>
          <w:p>
            <w:pPr>
              <w:pStyle w:val="0"/>
              <w:jc w:val="center"/>
            </w:pPr>
            <w:r>
              <w:rPr>
                <w:sz w:val="20"/>
              </w:rPr>
              <w:t xml:space="preserve">57293,9</w:t>
            </w:r>
          </w:p>
        </w:tc>
        <w:tc>
          <w:tcPr>
            <w:tcW w:w="1619" w:type="dxa"/>
          </w:tcPr>
          <w:p>
            <w:pPr>
              <w:pStyle w:val="0"/>
              <w:jc w:val="center"/>
            </w:pPr>
            <w:r>
              <w:rPr>
                <w:sz w:val="20"/>
              </w:rPr>
              <w:t xml:space="preserve">58596,6</w:t>
            </w:r>
          </w:p>
        </w:tc>
        <w:tc>
          <w:tcPr>
            <w:tcW w:w="1417" w:type="dxa"/>
          </w:tcPr>
          <w:p>
            <w:pPr>
              <w:pStyle w:val="0"/>
              <w:jc w:val="center"/>
            </w:pPr>
            <w:r>
              <w:rPr>
                <w:sz w:val="20"/>
              </w:rPr>
              <w:t xml:space="preserve">59961,0</w:t>
            </w:r>
          </w:p>
        </w:tc>
        <w:tc>
          <w:tcPr>
            <w:tcW w:w="1076" w:type="dxa"/>
          </w:tcPr>
          <w:p>
            <w:pPr>
              <w:pStyle w:val="0"/>
              <w:jc w:val="center"/>
            </w:pPr>
            <w:r>
              <w:rPr>
                <w:sz w:val="20"/>
              </w:rPr>
              <w:t xml:space="preserve">102,3</w:t>
            </w:r>
          </w:p>
        </w:tc>
        <w:tc>
          <w:tcPr>
            <w:tcW w:w="1076" w:type="dxa"/>
          </w:tcPr>
          <w:p>
            <w:pPr>
              <w:pStyle w:val="0"/>
              <w:jc w:val="center"/>
            </w:pPr>
            <w:r>
              <w:rPr>
                <w:sz w:val="20"/>
              </w:rPr>
              <w:t xml:space="preserve">104,7</w:t>
            </w:r>
          </w:p>
        </w:tc>
      </w:tr>
      <w:tr>
        <w:tc>
          <w:tcPr>
            <w:tcW w:w="2438" w:type="dxa"/>
          </w:tcPr>
          <w:p>
            <w:pPr>
              <w:pStyle w:val="0"/>
            </w:pPr>
            <w:r>
              <w:rPr>
                <w:sz w:val="20"/>
              </w:rPr>
              <w:t xml:space="preserve">из них:</w:t>
            </w:r>
          </w:p>
        </w:tc>
        <w:tc>
          <w:tcPr>
            <w:tcW w:w="1415" w:type="dxa"/>
          </w:tcPr>
          <w:p>
            <w:pPr>
              <w:pStyle w:val="0"/>
            </w:pPr>
            <w:r>
              <w:rPr>
                <w:sz w:val="20"/>
              </w:rPr>
            </w:r>
          </w:p>
        </w:tc>
        <w:tc>
          <w:tcPr>
            <w:tcW w:w="1619" w:type="dxa"/>
          </w:tcPr>
          <w:p>
            <w:pPr>
              <w:pStyle w:val="0"/>
            </w:pPr>
            <w:r>
              <w:rPr>
                <w:sz w:val="20"/>
              </w:rPr>
            </w:r>
          </w:p>
        </w:tc>
        <w:tc>
          <w:tcPr>
            <w:tcW w:w="1417" w:type="dxa"/>
          </w:tcPr>
          <w:p>
            <w:pPr>
              <w:pStyle w:val="0"/>
            </w:pPr>
            <w:r>
              <w:rPr>
                <w:sz w:val="20"/>
              </w:rPr>
            </w:r>
          </w:p>
        </w:tc>
        <w:tc>
          <w:tcPr>
            <w:tcW w:w="1076" w:type="dxa"/>
          </w:tcPr>
          <w:p>
            <w:pPr>
              <w:pStyle w:val="0"/>
            </w:pPr>
            <w:r>
              <w:rPr>
                <w:sz w:val="20"/>
              </w:rPr>
            </w:r>
          </w:p>
        </w:tc>
        <w:tc>
          <w:tcPr>
            <w:tcW w:w="1076" w:type="dxa"/>
          </w:tcPr>
          <w:p>
            <w:pPr>
              <w:pStyle w:val="0"/>
            </w:pPr>
            <w:r>
              <w:rPr>
                <w:sz w:val="20"/>
              </w:rPr>
            </w:r>
          </w:p>
        </w:tc>
      </w:tr>
      <w:tr>
        <w:tc>
          <w:tcPr>
            <w:tcW w:w="2438" w:type="dxa"/>
          </w:tcPr>
          <w:p>
            <w:pPr>
              <w:pStyle w:val="0"/>
            </w:pPr>
            <w:r>
              <w:rPr>
                <w:sz w:val="20"/>
              </w:rPr>
              <w:t xml:space="preserve">Налоги на прибыль, доход</w:t>
            </w:r>
          </w:p>
        </w:tc>
        <w:tc>
          <w:tcPr>
            <w:tcW w:w="1415" w:type="dxa"/>
          </w:tcPr>
          <w:p>
            <w:pPr>
              <w:pStyle w:val="0"/>
              <w:jc w:val="center"/>
            </w:pPr>
            <w:r>
              <w:rPr>
                <w:sz w:val="20"/>
              </w:rPr>
              <w:t xml:space="preserve">38268,0</w:t>
            </w:r>
          </w:p>
        </w:tc>
        <w:tc>
          <w:tcPr>
            <w:tcW w:w="1619" w:type="dxa"/>
          </w:tcPr>
          <w:p>
            <w:pPr>
              <w:pStyle w:val="0"/>
              <w:jc w:val="center"/>
            </w:pPr>
            <w:r>
              <w:rPr>
                <w:sz w:val="20"/>
              </w:rPr>
              <w:t xml:space="preserve">39304,4</w:t>
            </w:r>
          </w:p>
        </w:tc>
        <w:tc>
          <w:tcPr>
            <w:tcW w:w="1417" w:type="dxa"/>
          </w:tcPr>
          <w:p>
            <w:pPr>
              <w:pStyle w:val="0"/>
              <w:jc w:val="center"/>
            </w:pPr>
            <w:r>
              <w:rPr>
                <w:sz w:val="20"/>
              </w:rPr>
              <w:t xml:space="preserve">41013,8</w:t>
            </w:r>
          </w:p>
        </w:tc>
        <w:tc>
          <w:tcPr>
            <w:tcW w:w="1076" w:type="dxa"/>
          </w:tcPr>
          <w:p>
            <w:pPr>
              <w:pStyle w:val="0"/>
              <w:jc w:val="center"/>
            </w:pPr>
            <w:r>
              <w:rPr>
                <w:sz w:val="20"/>
              </w:rPr>
              <w:t xml:space="preserve">104,3</w:t>
            </w:r>
          </w:p>
        </w:tc>
        <w:tc>
          <w:tcPr>
            <w:tcW w:w="1076" w:type="dxa"/>
          </w:tcPr>
          <w:p>
            <w:pPr>
              <w:pStyle w:val="0"/>
              <w:jc w:val="center"/>
            </w:pPr>
            <w:r>
              <w:rPr>
                <w:sz w:val="20"/>
              </w:rPr>
              <w:t xml:space="preserve">107,2</w:t>
            </w:r>
          </w:p>
        </w:tc>
      </w:tr>
      <w:tr>
        <w:tc>
          <w:tcPr>
            <w:tcW w:w="2438" w:type="dxa"/>
          </w:tcPr>
          <w:p>
            <w:pPr>
              <w:pStyle w:val="0"/>
            </w:pPr>
            <w:r>
              <w:rPr>
                <w:sz w:val="20"/>
              </w:rPr>
              <w:t xml:space="preserve">Акцизы по подакцизным товарам</w:t>
            </w:r>
          </w:p>
        </w:tc>
        <w:tc>
          <w:tcPr>
            <w:tcW w:w="1415" w:type="dxa"/>
          </w:tcPr>
          <w:p>
            <w:pPr>
              <w:pStyle w:val="0"/>
              <w:jc w:val="center"/>
            </w:pPr>
            <w:r>
              <w:rPr>
                <w:sz w:val="20"/>
              </w:rPr>
              <w:t xml:space="preserve">5471,0</w:t>
            </w:r>
          </w:p>
        </w:tc>
        <w:tc>
          <w:tcPr>
            <w:tcW w:w="1619" w:type="dxa"/>
          </w:tcPr>
          <w:p>
            <w:pPr>
              <w:pStyle w:val="0"/>
              <w:jc w:val="center"/>
            </w:pPr>
            <w:r>
              <w:rPr>
                <w:sz w:val="20"/>
              </w:rPr>
              <w:t xml:space="preserve">5896,5</w:t>
            </w:r>
          </w:p>
        </w:tc>
        <w:tc>
          <w:tcPr>
            <w:tcW w:w="1417" w:type="dxa"/>
          </w:tcPr>
          <w:p>
            <w:pPr>
              <w:pStyle w:val="0"/>
              <w:jc w:val="center"/>
            </w:pPr>
            <w:r>
              <w:rPr>
                <w:sz w:val="20"/>
              </w:rPr>
              <w:t xml:space="preserve">5555,6</w:t>
            </w:r>
          </w:p>
        </w:tc>
        <w:tc>
          <w:tcPr>
            <w:tcW w:w="1076" w:type="dxa"/>
          </w:tcPr>
          <w:p>
            <w:pPr>
              <w:pStyle w:val="0"/>
              <w:jc w:val="center"/>
            </w:pPr>
            <w:r>
              <w:rPr>
                <w:sz w:val="20"/>
              </w:rPr>
              <w:t xml:space="preserve">94,2</w:t>
            </w:r>
          </w:p>
        </w:tc>
        <w:tc>
          <w:tcPr>
            <w:tcW w:w="1076" w:type="dxa"/>
          </w:tcPr>
          <w:p>
            <w:pPr>
              <w:pStyle w:val="0"/>
              <w:jc w:val="center"/>
            </w:pPr>
            <w:r>
              <w:rPr>
                <w:sz w:val="20"/>
              </w:rPr>
              <w:t xml:space="preserve">101,5</w:t>
            </w:r>
          </w:p>
        </w:tc>
      </w:tr>
      <w:tr>
        <w:tc>
          <w:tcPr>
            <w:tcW w:w="2438" w:type="dxa"/>
          </w:tcPr>
          <w:p>
            <w:pPr>
              <w:pStyle w:val="0"/>
            </w:pPr>
            <w:r>
              <w:rPr>
                <w:sz w:val="20"/>
              </w:rPr>
              <w:t xml:space="preserve">Налоги на совокупный доход</w:t>
            </w:r>
          </w:p>
        </w:tc>
        <w:tc>
          <w:tcPr>
            <w:tcW w:w="1415" w:type="dxa"/>
          </w:tcPr>
          <w:p>
            <w:pPr>
              <w:pStyle w:val="0"/>
              <w:jc w:val="center"/>
            </w:pPr>
            <w:r>
              <w:rPr>
                <w:sz w:val="20"/>
              </w:rPr>
              <w:t xml:space="preserve">4748,7</w:t>
            </w:r>
          </w:p>
        </w:tc>
        <w:tc>
          <w:tcPr>
            <w:tcW w:w="1619" w:type="dxa"/>
          </w:tcPr>
          <w:p>
            <w:pPr>
              <w:pStyle w:val="0"/>
              <w:jc w:val="center"/>
            </w:pPr>
            <w:r>
              <w:rPr>
                <w:sz w:val="20"/>
              </w:rPr>
              <w:t xml:space="preserve">4623,6</w:t>
            </w:r>
          </w:p>
        </w:tc>
        <w:tc>
          <w:tcPr>
            <w:tcW w:w="1417" w:type="dxa"/>
          </w:tcPr>
          <w:p>
            <w:pPr>
              <w:pStyle w:val="0"/>
              <w:jc w:val="center"/>
            </w:pPr>
            <w:r>
              <w:rPr>
                <w:sz w:val="20"/>
              </w:rPr>
              <w:t xml:space="preserve">4672,3</w:t>
            </w:r>
          </w:p>
        </w:tc>
        <w:tc>
          <w:tcPr>
            <w:tcW w:w="1076" w:type="dxa"/>
          </w:tcPr>
          <w:p>
            <w:pPr>
              <w:pStyle w:val="0"/>
              <w:jc w:val="center"/>
            </w:pPr>
            <w:r>
              <w:rPr>
                <w:sz w:val="20"/>
              </w:rPr>
              <w:t xml:space="preserve">101,1</w:t>
            </w:r>
          </w:p>
        </w:tc>
        <w:tc>
          <w:tcPr>
            <w:tcW w:w="1076" w:type="dxa"/>
          </w:tcPr>
          <w:p>
            <w:pPr>
              <w:pStyle w:val="0"/>
              <w:jc w:val="center"/>
            </w:pPr>
            <w:r>
              <w:rPr>
                <w:sz w:val="20"/>
              </w:rPr>
              <w:t xml:space="preserve">98,4</w:t>
            </w:r>
          </w:p>
        </w:tc>
      </w:tr>
      <w:tr>
        <w:tc>
          <w:tcPr>
            <w:tcW w:w="2438" w:type="dxa"/>
          </w:tcPr>
          <w:p>
            <w:pPr>
              <w:pStyle w:val="0"/>
            </w:pPr>
            <w:r>
              <w:rPr>
                <w:sz w:val="20"/>
              </w:rPr>
              <w:t xml:space="preserve">Налоги на имущество</w:t>
            </w:r>
          </w:p>
        </w:tc>
        <w:tc>
          <w:tcPr>
            <w:tcW w:w="1415" w:type="dxa"/>
          </w:tcPr>
          <w:p>
            <w:pPr>
              <w:pStyle w:val="0"/>
              <w:jc w:val="center"/>
            </w:pPr>
            <w:r>
              <w:rPr>
                <w:sz w:val="20"/>
              </w:rPr>
              <w:t xml:space="preserve">8257,6</w:t>
            </w:r>
          </w:p>
        </w:tc>
        <w:tc>
          <w:tcPr>
            <w:tcW w:w="1619" w:type="dxa"/>
          </w:tcPr>
          <w:p>
            <w:pPr>
              <w:pStyle w:val="0"/>
              <w:jc w:val="center"/>
            </w:pPr>
            <w:r>
              <w:rPr>
                <w:sz w:val="20"/>
              </w:rPr>
              <w:t xml:space="preserve">8225,0</w:t>
            </w:r>
          </w:p>
        </w:tc>
        <w:tc>
          <w:tcPr>
            <w:tcW w:w="1417" w:type="dxa"/>
          </w:tcPr>
          <w:p>
            <w:pPr>
              <w:pStyle w:val="0"/>
              <w:jc w:val="center"/>
            </w:pPr>
            <w:r>
              <w:rPr>
                <w:sz w:val="20"/>
              </w:rPr>
              <w:t xml:space="preserve">8246,9</w:t>
            </w:r>
          </w:p>
        </w:tc>
        <w:tc>
          <w:tcPr>
            <w:tcW w:w="1076" w:type="dxa"/>
          </w:tcPr>
          <w:p>
            <w:pPr>
              <w:pStyle w:val="0"/>
              <w:jc w:val="center"/>
            </w:pPr>
            <w:r>
              <w:rPr>
                <w:sz w:val="20"/>
              </w:rPr>
              <w:t xml:space="preserve">100,3</w:t>
            </w:r>
          </w:p>
        </w:tc>
        <w:tc>
          <w:tcPr>
            <w:tcW w:w="1076" w:type="dxa"/>
          </w:tcPr>
          <w:p>
            <w:pPr>
              <w:pStyle w:val="0"/>
              <w:jc w:val="center"/>
            </w:pPr>
            <w:r>
              <w:rPr>
                <w:sz w:val="20"/>
              </w:rPr>
              <w:t xml:space="preserve">99,9</w:t>
            </w:r>
          </w:p>
        </w:tc>
      </w:tr>
      <w:tr>
        <w:tc>
          <w:tcPr>
            <w:tcW w:w="2438" w:type="dxa"/>
          </w:tcPr>
          <w:p>
            <w:pPr>
              <w:pStyle w:val="0"/>
            </w:pPr>
            <w:r>
              <w:rPr>
                <w:sz w:val="20"/>
              </w:rPr>
              <w:t xml:space="preserve">Неналоговые доходы</w:t>
            </w:r>
          </w:p>
        </w:tc>
        <w:tc>
          <w:tcPr>
            <w:tcW w:w="1415" w:type="dxa"/>
          </w:tcPr>
          <w:p>
            <w:pPr>
              <w:pStyle w:val="0"/>
              <w:jc w:val="center"/>
            </w:pPr>
            <w:r>
              <w:rPr>
                <w:sz w:val="20"/>
              </w:rPr>
              <w:t xml:space="preserve">2833,6</w:t>
            </w:r>
          </w:p>
        </w:tc>
        <w:tc>
          <w:tcPr>
            <w:tcW w:w="1619" w:type="dxa"/>
          </w:tcPr>
          <w:p>
            <w:pPr>
              <w:pStyle w:val="0"/>
              <w:jc w:val="center"/>
            </w:pPr>
            <w:r>
              <w:rPr>
                <w:sz w:val="20"/>
              </w:rPr>
              <w:t xml:space="preserve">2601,3</w:t>
            </w:r>
          </w:p>
        </w:tc>
        <w:tc>
          <w:tcPr>
            <w:tcW w:w="1417" w:type="dxa"/>
          </w:tcPr>
          <w:p>
            <w:pPr>
              <w:pStyle w:val="0"/>
              <w:jc w:val="center"/>
            </w:pPr>
            <w:r>
              <w:rPr>
                <w:sz w:val="20"/>
              </w:rPr>
              <w:t xml:space="preserve">2869,0</w:t>
            </w:r>
          </w:p>
        </w:tc>
        <w:tc>
          <w:tcPr>
            <w:tcW w:w="1076" w:type="dxa"/>
          </w:tcPr>
          <w:p>
            <w:pPr>
              <w:pStyle w:val="0"/>
              <w:jc w:val="center"/>
            </w:pPr>
            <w:r>
              <w:rPr>
                <w:sz w:val="20"/>
              </w:rPr>
              <w:t xml:space="preserve">110,3</w:t>
            </w:r>
          </w:p>
        </w:tc>
        <w:tc>
          <w:tcPr>
            <w:tcW w:w="1076" w:type="dxa"/>
          </w:tcPr>
          <w:p>
            <w:pPr>
              <w:pStyle w:val="0"/>
              <w:jc w:val="center"/>
            </w:pPr>
            <w:r>
              <w:rPr>
                <w:sz w:val="20"/>
              </w:rPr>
              <w:t xml:space="preserve">101,2</w:t>
            </w:r>
          </w:p>
        </w:tc>
      </w:tr>
    </w:tbl>
    <w:p>
      <w:pPr>
        <w:pStyle w:val="0"/>
        <w:jc w:val="both"/>
      </w:pPr>
      <w:r>
        <w:rPr>
          <w:sz w:val="20"/>
        </w:rPr>
      </w:r>
    </w:p>
    <w:p>
      <w:pPr>
        <w:pStyle w:val="0"/>
        <w:ind w:firstLine="540"/>
        <w:jc w:val="both"/>
      </w:pPr>
      <w:r>
        <w:rPr>
          <w:sz w:val="20"/>
        </w:rPr>
        <w:t xml:space="preserve">Рост налоговых и неналоговых доходов областного бюджета к уровню 2019 года составил 102,3%, превысив среднероссийский уровень (97,5%) и показатель по Центральному Федеральному округу (далее - ЦФО) (101,5%), поступило 47792,4 млн. рублей (+1060,3 млн. рублей).</w:t>
      </w:r>
    </w:p>
    <w:p>
      <w:pPr>
        <w:pStyle w:val="0"/>
        <w:spacing w:before="200" w:line-rule="auto"/>
        <w:ind w:firstLine="540"/>
        <w:jc w:val="both"/>
      </w:pPr>
      <w:r>
        <w:rPr>
          <w:sz w:val="20"/>
        </w:rPr>
        <w:t xml:space="preserve">На 1,9% выросли поступления налоговых доходов и составили 46751 млн. рублей. Налоговые доходы увеличились по отношению к 2019 году за счет поступлений налога на доходы физических лиц в сумме 17610,2 млн. рублей (110,6% к 2019 году при среднероссийском уровне - 107,7% и по ЦФО - 109,7%) и налога на прибыль организаций - 15624,9 млн. рублей (101% к 2019 году при среднероссийском уровне - 87,2% и по ЦФО - 93,9%).</w:t>
      </w:r>
    </w:p>
    <w:p>
      <w:pPr>
        <w:pStyle w:val="0"/>
        <w:spacing w:before="200" w:line-rule="auto"/>
        <w:ind w:firstLine="540"/>
        <w:jc w:val="both"/>
      </w:pPr>
      <w:r>
        <w:rPr>
          <w:sz w:val="20"/>
        </w:rPr>
        <w:t xml:space="preserve">Крупными налогоплательщиками являются АО "Генериум", ОАО "Завод им. В.А. Дегтярева", ООО "Мон'дэлис Русь", ЗАО "Ферреро Руссия", ОАО "РЖД", ПАО "Сбербанк", ООО "Владимирский Стандарт".</w:t>
      </w:r>
    </w:p>
    <w:p>
      <w:pPr>
        <w:pStyle w:val="0"/>
        <w:spacing w:before="200" w:line-rule="auto"/>
        <w:ind w:firstLine="540"/>
        <w:jc w:val="both"/>
      </w:pPr>
      <w:r>
        <w:rPr>
          <w:sz w:val="20"/>
        </w:rPr>
        <w:t xml:space="preserve">На долю всех вышеуказанных организаций приходится 23,9% поступивших в бюджет области доходов в 2020 году.</w:t>
      </w:r>
    </w:p>
    <w:p>
      <w:pPr>
        <w:pStyle w:val="0"/>
        <w:spacing w:before="200" w:line-rule="auto"/>
        <w:ind w:firstLine="540"/>
        <w:jc w:val="both"/>
      </w:pPr>
      <w:r>
        <w:rPr>
          <w:sz w:val="20"/>
        </w:rPr>
        <w:t xml:space="preserve">Наибольший рост по итогам отчетного периода сложился по АО "Генериум".</w:t>
      </w:r>
    </w:p>
    <w:p>
      <w:pPr>
        <w:pStyle w:val="0"/>
        <w:spacing w:before="200" w:line-rule="auto"/>
        <w:ind w:firstLine="540"/>
        <w:jc w:val="both"/>
      </w:pPr>
      <w:r>
        <w:rPr>
          <w:sz w:val="20"/>
        </w:rPr>
        <w:t xml:space="preserve">В 2020 году обеспечено выполнение условий соглашения по социально-экономическому развитию и оздоровлению государственных финансов области, заключенного между администрацией области и Министерством финансов Российской Федерации. План мероприятий по оздоровлению государственных финансов области, направленный на повышение налогового потенциала, выполнен, в том числе за счет увеличения налогооблагаемой базы, улучшения налогового администрирования, государственной поддержки инвесторов и субъектов малого и среднего предпринимательства.</w:t>
      </w:r>
    </w:p>
    <w:p>
      <w:pPr>
        <w:pStyle w:val="0"/>
        <w:spacing w:before="200" w:line-rule="auto"/>
        <w:ind w:firstLine="540"/>
        <w:jc w:val="both"/>
      </w:pPr>
      <w:r>
        <w:rPr>
          <w:sz w:val="20"/>
        </w:rPr>
        <w:t xml:space="preserve">Бюджетный эффект от реализации указанного плана в виде прироста налоговых и неналоговых доходов консолидированного бюджета области составил 2997,2 млн. рублей.</w:t>
      </w:r>
    </w:p>
    <w:p>
      <w:pPr>
        <w:pStyle w:val="0"/>
        <w:spacing w:before="200" w:line-rule="auto"/>
        <w:ind w:firstLine="540"/>
        <w:jc w:val="both"/>
      </w:pPr>
      <w:r>
        <w:rPr>
          <w:sz w:val="20"/>
        </w:rPr>
        <w:t xml:space="preserve">В 2020 году в целях расширения доходной базы, сбалансированности и устойчивости местных бюджетов перераспределена часть доходов в пользу бюджетов муниципальных образований. Это касается налога, взимаемого в связи с применением упрощенной системы налогообложения, транспортного налога с физических лиц и платы за негативное воздействие на окружающую среду. Объем дополнительно переданных местным бюджетам из областного бюджета налоговых и неналоговых доходов составил в 2020 году более миллиарда рублей.</w:t>
      </w:r>
    </w:p>
    <w:p>
      <w:pPr>
        <w:pStyle w:val="0"/>
        <w:jc w:val="both"/>
      </w:pPr>
      <w:r>
        <w:rPr>
          <w:sz w:val="20"/>
        </w:rPr>
      </w:r>
    </w:p>
    <w:p>
      <w:pPr>
        <w:pStyle w:val="2"/>
        <w:outlineLvl w:val="1"/>
        <w:jc w:val="center"/>
      </w:pPr>
      <w:r>
        <w:rPr>
          <w:sz w:val="20"/>
        </w:rPr>
        <w:t xml:space="preserve">II. Макроэкономические показатели социально-экономического</w:t>
      </w:r>
    </w:p>
    <w:p>
      <w:pPr>
        <w:pStyle w:val="2"/>
        <w:jc w:val="center"/>
      </w:pPr>
      <w:r>
        <w:rPr>
          <w:sz w:val="20"/>
        </w:rPr>
        <w:t xml:space="preserve">развития Владимирской области</w:t>
      </w:r>
    </w:p>
    <w:p>
      <w:pPr>
        <w:pStyle w:val="0"/>
        <w:jc w:val="both"/>
      </w:pPr>
      <w:r>
        <w:rPr>
          <w:sz w:val="20"/>
        </w:rPr>
      </w:r>
    </w:p>
    <w:p>
      <w:pPr>
        <w:pStyle w:val="0"/>
        <w:ind w:firstLine="540"/>
        <w:jc w:val="both"/>
      </w:pPr>
      <w:r>
        <w:rPr>
          <w:sz w:val="20"/>
        </w:rPr>
        <w:t xml:space="preserve">Социально-экономическое положение Владимирской области в течение последних лет характеризуется положительной динамикой роста промышленного производства, объема инвестиций, прибыли.</w:t>
      </w:r>
    </w:p>
    <w:p>
      <w:pPr>
        <w:pStyle w:val="0"/>
        <w:spacing w:before="200" w:line-rule="auto"/>
        <w:ind w:firstLine="540"/>
        <w:jc w:val="both"/>
      </w:pPr>
      <w:r>
        <w:rPr>
          <w:sz w:val="20"/>
        </w:rPr>
        <w:t xml:space="preserve">Формирование налоговой политики области на 2022 год и среднесрочную перспективу до 2024 года осуществлялось на основе уточненных показателей прогноза социально-экономического развития Владимирской области на 2022 - 2024 годы, представленных Департаментом регионального развития области письмом от 14 мая 2021 г. N ДРР-1036-02-01 (таблица 2).</w:t>
      </w:r>
    </w:p>
    <w:p>
      <w:pPr>
        <w:pStyle w:val="0"/>
        <w:jc w:val="both"/>
      </w:pPr>
      <w:r>
        <w:rPr>
          <w:sz w:val="20"/>
        </w:rPr>
      </w:r>
    </w:p>
    <w:p>
      <w:pPr>
        <w:pStyle w:val="0"/>
        <w:jc w:val="right"/>
      </w:pPr>
      <w:r>
        <w:rPr>
          <w:sz w:val="20"/>
        </w:rPr>
        <w:t xml:space="preserve">Таблица 2</w:t>
      </w:r>
    </w:p>
    <w:p>
      <w:pPr>
        <w:pStyle w:val="0"/>
        <w:jc w:val="both"/>
      </w:pPr>
      <w:r>
        <w:rPr>
          <w:sz w:val="20"/>
        </w:rPr>
      </w:r>
    </w:p>
    <w:p>
      <w:pPr>
        <w:pStyle w:val="0"/>
        <w:jc w:val="center"/>
      </w:pPr>
      <w:r>
        <w:rPr>
          <w:sz w:val="20"/>
        </w:rPr>
        <w:t xml:space="preserve">Показатели</w:t>
      </w:r>
    </w:p>
    <w:p>
      <w:pPr>
        <w:pStyle w:val="0"/>
        <w:jc w:val="center"/>
      </w:pPr>
      <w:r>
        <w:rPr>
          <w:sz w:val="20"/>
        </w:rPr>
        <w:t xml:space="preserve">социально-экономического развития Владимирской области</w:t>
      </w:r>
    </w:p>
    <w:p>
      <w:pPr>
        <w:pStyle w:val="0"/>
        <w:jc w:val="center"/>
      </w:pPr>
      <w:r>
        <w:rPr>
          <w:sz w:val="20"/>
        </w:rPr>
        <w:t xml:space="preserve">на 2022 - 2024 годы</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19"/>
        <w:gridCol w:w="1416"/>
        <w:gridCol w:w="1416"/>
        <w:gridCol w:w="1417"/>
      </w:tblGrid>
      <w:tr>
        <w:tc>
          <w:tcPr>
            <w:tcW w:w="4819" w:type="dxa"/>
          </w:tcPr>
          <w:p>
            <w:pPr>
              <w:pStyle w:val="0"/>
              <w:jc w:val="center"/>
            </w:pPr>
            <w:r>
              <w:rPr>
                <w:sz w:val="20"/>
              </w:rPr>
              <w:t xml:space="preserve">Показатели</w:t>
            </w:r>
          </w:p>
        </w:tc>
        <w:tc>
          <w:tcPr>
            <w:tcW w:w="1416" w:type="dxa"/>
          </w:tcPr>
          <w:p>
            <w:pPr>
              <w:pStyle w:val="0"/>
              <w:jc w:val="center"/>
            </w:pPr>
            <w:r>
              <w:rPr>
                <w:sz w:val="20"/>
              </w:rPr>
              <w:t xml:space="preserve">2022 год</w:t>
            </w:r>
          </w:p>
        </w:tc>
        <w:tc>
          <w:tcPr>
            <w:tcW w:w="1416" w:type="dxa"/>
          </w:tcPr>
          <w:p>
            <w:pPr>
              <w:pStyle w:val="0"/>
              <w:jc w:val="center"/>
            </w:pPr>
            <w:r>
              <w:rPr>
                <w:sz w:val="20"/>
              </w:rPr>
              <w:t xml:space="preserve">2023 год</w:t>
            </w:r>
          </w:p>
        </w:tc>
        <w:tc>
          <w:tcPr>
            <w:tcW w:w="1417" w:type="dxa"/>
          </w:tcPr>
          <w:p>
            <w:pPr>
              <w:pStyle w:val="0"/>
              <w:jc w:val="center"/>
            </w:pPr>
            <w:r>
              <w:rPr>
                <w:sz w:val="20"/>
              </w:rPr>
              <w:t xml:space="preserve">2024 год</w:t>
            </w:r>
          </w:p>
        </w:tc>
      </w:tr>
      <w:tr>
        <w:tc>
          <w:tcPr>
            <w:tcW w:w="4819" w:type="dxa"/>
          </w:tcPr>
          <w:p>
            <w:pPr>
              <w:pStyle w:val="0"/>
            </w:pPr>
            <w:r>
              <w:rPr>
                <w:sz w:val="20"/>
              </w:rPr>
              <w:t xml:space="preserve">Валовой региональный продукт, млн. рублей</w:t>
            </w:r>
          </w:p>
        </w:tc>
        <w:tc>
          <w:tcPr>
            <w:tcW w:w="1416" w:type="dxa"/>
            <w:vAlign w:val="center"/>
          </w:tcPr>
          <w:p>
            <w:pPr>
              <w:pStyle w:val="0"/>
              <w:jc w:val="center"/>
            </w:pPr>
            <w:r>
              <w:rPr>
                <w:sz w:val="20"/>
              </w:rPr>
              <w:t xml:space="preserve">651870,2</w:t>
            </w:r>
          </w:p>
        </w:tc>
        <w:tc>
          <w:tcPr>
            <w:tcW w:w="1416" w:type="dxa"/>
            <w:vAlign w:val="center"/>
          </w:tcPr>
          <w:p>
            <w:pPr>
              <w:pStyle w:val="0"/>
              <w:jc w:val="center"/>
            </w:pPr>
            <w:r>
              <w:rPr>
                <w:sz w:val="20"/>
              </w:rPr>
              <w:t xml:space="preserve">697611,9</w:t>
            </w:r>
          </w:p>
        </w:tc>
        <w:tc>
          <w:tcPr>
            <w:tcW w:w="1417" w:type="dxa"/>
          </w:tcPr>
          <w:p>
            <w:pPr>
              <w:pStyle w:val="0"/>
              <w:jc w:val="center"/>
            </w:pPr>
            <w:r>
              <w:rPr>
                <w:sz w:val="20"/>
              </w:rPr>
              <w:t xml:space="preserve">748718,0</w:t>
            </w:r>
          </w:p>
        </w:tc>
      </w:tr>
      <w:tr>
        <w:tc>
          <w:tcPr>
            <w:tcW w:w="4819" w:type="dxa"/>
          </w:tcPr>
          <w:p>
            <w:pPr>
              <w:pStyle w:val="0"/>
            </w:pPr>
            <w:r>
              <w:rPr>
                <w:sz w:val="20"/>
              </w:rPr>
              <w:t xml:space="preserve">Индекс физического объема ВРП, %</w:t>
            </w:r>
          </w:p>
        </w:tc>
        <w:tc>
          <w:tcPr>
            <w:tcW w:w="1416" w:type="dxa"/>
            <w:vAlign w:val="center"/>
          </w:tcPr>
          <w:p>
            <w:pPr>
              <w:pStyle w:val="0"/>
              <w:jc w:val="center"/>
            </w:pPr>
            <w:r>
              <w:rPr>
                <w:sz w:val="20"/>
              </w:rPr>
              <w:t xml:space="preserve">103,2</w:t>
            </w:r>
          </w:p>
        </w:tc>
        <w:tc>
          <w:tcPr>
            <w:tcW w:w="1416" w:type="dxa"/>
            <w:vAlign w:val="center"/>
          </w:tcPr>
          <w:p>
            <w:pPr>
              <w:pStyle w:val="0"/>
              <w:jc w:val="center"/>
            </w:pPr>
            <w:r>
              <w:rPr>
                <w:sz w:val="20"/>
              </w:rPr>
              <w:t xml:space="preserve">103,0</w:t>
            </w:r>
          </w:p>
        </w:tc>
        <w:tc>
          <w:tcPr>
            <w:tcW w:w="1417" w:type="dxa"/>
          </w:tcPr>
          <w:p>
            <w:pPr>
              <w:pStyle w:val="0"/>
              <w:jc w:val="center"/>
            </w:pPr>
            <w:r>
              <w:rPr>
                <w:sz w:val="20"/>
              </w:rPr>
              <w:t xml:space="preserve">103,0</w:t>
            </w:r>
          </w:p>
        </w:tc>
      </w:tr>
      <w:tr>
        <w:tc>
          <w:tcPr>
            <w:tcW w:w="4819" w:type="dxa"/>
          </w:tcPr>
          <w:p>
            <w:pPr>
              <w:pStyle w:val="0"/>
            </w:pPr>
            <w:r>
              <w:rPr>
                <w:sz w:val="20"/>
              </w:rPr>
              <w:t xml:space="preserve">Прибыль прибыльных организаций, млн. рублей</w:t>
            </w:r>
          </w:p>
        </w:tc>
        <w:tc>
          <w:tcPr>
            <w:tcW w:w="1416" w:type="dxa"/>
            <w:vAlign w:val="center"/>
          </w:tcPr>
          <w:p>
            <w:pPr>
              <w:pStyle w:val="0"/>
              <w:jc w:val="center"/>
            </w:pPr>
            <w:r>
              <w:rPr>
                <w:sz w:val="20"/>
              </w:rPr>
              <w:t xml:space="preserve">116261,2</w:t>
            </w:r>
          </w:p>
        </w:tc>
        <w:tc>
          <w:tcPr>
            <w:tcW w:w="1416" w:type="dxa"/>
            <w:vAlign w:val="center"/>
          </w:tcPr>
          <w:p>
            <w:pPr>
              <w:pStyle w:val="0"/>
              <w:jc w:val="center"/>
            </w:pPr>
            <w:r>
              <w:rPr>
                <w:sz w:val="20"/>
              </w:rPr>
              <w:t xml:space="preserve">123818,1</w:t>
            </w:r>
          </w:p>
        </w:tc>
        <w:tc>
          <w:tcPr>
            <w:tcW w:w="1417" w:type="dxa"/>
            <w:vAlign w:val="center"/>
          </w:tcPr>
          <w:p>
            <w:pPr>
              <w:pStyle w:val="0"/>
              <w:jc w:val="center"/>
            </w:pPr>
            <w:r>
              <w:rPr>
                <w:sz w:val="20"/>
              </w:rPr>
              <w:t xml:space="preserve">132733,1</w:t>
            </w:r>
          </w:p>
        </w:tc>
      </w:tr>
      <w:tr>
        <w:tc>
          <w:tcPr>
            <w:tcW w:w="4819" w:type="dxa"/>
          </w:tcPr>
          <w:p>
            <w:pPr>
              <w:pStyle w:val="0"/>
            </w:pPr>
            <w:r>
              <w:rPr>
                <w:sz w:val="20"/>
              </w:rPr>
              <w:t xml:space="preserve">Фонд заработной платы работников, млн. рублей</w:t>
            </w:r>
          </w:p>
        </w:tc>
        <w:tc>
          <w:tcPr>
            <w:tcW w:w="1416" w:type="dxa"/>
            <w:vAlign w:val="center"/>
          </w:tcPr>
          <w:p>
            <w:pPr>
              <w:pStyle w:val="0"/>
              <w:jc w:val="center"/>
            </w:pPr>
            <w:r>
              <w:rPr>
                <w:sz w:val="20"/>
              </w:rPr>
              <w:t xml:space="preserve">188747,0</w:t>
            </w:r>
          </w:p>
        </w:tc>
        <w:tc>
          <w:tcPr>
            <w:tcW w:w="1416" w:type="dxa"/>
            <w:vAlign w:val="center"/>
          </w:tcPr>
          <w:p>
            <w:pPr>
              <w:pStyle w:val="0"/>
              <w:jc w:val="center"/>
            </w:pPr>
            <w:r>
              <w:rPr>
                <w:sz w:val="20"/>
              </w:rPr>
              <w:t xml:space="preserve">198820,0</w:t>
            </w:r>
          </w:p>
        </w:tc>
        <w:tc>
          <w:tcPr>
            <w:tcW w:w="1417" w:type="dxa"/>
            <w:vAlign w:val="center"/>
          </w:tcPr>
          <w:p>
            <w:pPr>
              <w:pStyle w:val="0"/>
              <w:jc w:val="center"/>
            </w:pPr>
            <w:r>
              <w:rPr>
                <w:sz w:val="20"/>
              </w:rPr>
              <w:t xml:space="preserve">210153,0</w:t>
            </w:r>
          </w:p>
        </w:tc>
      </w:tr>
      <w:tr>
        <w:tc>
          <w:tcPr>
            <w:tcW w:w="4819" w:type="dxa"/>
          </w:tcPr>
          <w:p>
            <w:pPr>
              <w:pStyle w:val="0"/>
            </w:pPr>
            <w:r>
              <w:rPr>
                <w:sz w:val="20"/>
              </w:rPr>
              <w:t xml:space="preserve">Индекс потребительских цен, %</w:t>
            </w:r>
          </w:p>
        </w:tc>
        <w:tc>
          <w:tcPr>
            <w:tcW w:w="1416" w:type="dxa"/>
            <w:vAlign w:val="center"/>
          </w:tcPr>
          <w:p>
            <w:pPr>
              <w:pStyle w:val="0"/>
              <w:jc w:val="center"/>
            </w:pPr>
            <w:r>
              <w:rPr>
                <w:sz w:val="20"/>
              </w:rPr>
              <w:t xml:space="preserve">104,0</w:t>
            </w:r>
          </w:p>
        </w:tc>
        <w:tc>
          <w:tcPr>
            <w:tcW w:w="1416" w:type="dxa"/>
            <w:vAlign w:val="center"/>
          </w:tcPr>
          <w:p>
            <w:pPr>
              <w:pStyle w:val="0"/>
              <w:jc w:val="center"/>
            </w:pPr>
            <w:r>
              <w:rPr>
                <w:sz w:val="20"/>
              </w:rPr>
              <w:t xml:space="preserve">104,0</w:t>
            </w:r>
          </w:p>
        </w:tc>
        <w:tc>
          <w:tcPr>
            <w:tcW w:w="1417" w:type="dxa"/>
          </w:tcPr>
          <w:p>
            <w:pPr>
              <w:pStyle w:val="0"/>
              <w:jc w:val="center"/>
            </w:pPr>
            <w:r>
              <w:rPr>
                <w:sz w:val="20"/>
              </w:rPr>
              <w:t xml:space="preserve">104,0</w:t>
            </w:r>
          </w:p>
        </w:tc>
      </w:tr>
      <w:tr>
        <w:tc>
          <w:tcPr>
            <w:tcW w:w="4819" w:type="dxa"/>
          </w:tcPr>
          <w:p>
            <w:pPr>
              <w:pStyle w:val="0"/>
            </w:pPr>
            <w:r>
              <w:rPr>
                <w:sz w:val="20"/>
              </w:rPr>
              <w:t xml:space="preserve">Инвестиции в основной капитал, млн. рублей</w:t>
            </w:r>
          </w:p>
        </w:tc>
        <w:tc>
          <w:tcPr>
            <w:tcW w:w="1416" w:type="dxa"/>
            <w:vAlign w:val="center"/>
          </w:tcPr>
          <w:p>
            <w:pPr>
              <w:pStyle w:val="0"/>
              <w:jc w:val="center"/>
            </w:pPr>
            <w:r>
              <w:rPr>
                <w:sz w:val="20"/>
              </w:rPr>
              <w:t xml:space="preserve">103356,6</w:t>
            </w:r>
          </w:p>
        </w:tc>
        <w:tc>
          <w:tcPr>
            <w:tcW w:w="1416" w:type="dxa"/>
            <w:vAlign w:val="center"/>
          </w:tcPr>
          <w:p>
            <w:pPr>
              <w:pStyle w:val="0"/>
              <w:jc w:val="center"/>
            </w:pPr>
            <w:r>
              <w:rPr>
                <w:sz w:val="20"/>
              </w:rPr>
              <w:t xml:space="preserve">112212,5</w:t>
            </w:r>
          </w:p>
        </w:tc>
        <w:tc>
          <w:tcPr>
            <w:tcW w:w="1417" w:type="dxa"/>
          </w:tcPr>
          <w:p>
            <w:pPr>
              <w:pStyle w:val="0"/>
              <w:jc w:val="center"/>
            </w:pPr>
            <w:r>
              <w:rPr>
                <w:sz w:val="20"/>
              </w:rPr>
              <w:t xml:space="preserve">122888,6</w:t>
            </w:r>
          </w:p>
        </w:tc>
      </w:tr>
    </w:tbl>
    <w:p>
      <w:pPr>
        <w:pStyle w:val="0"/>
        <w:jc w:val="both"/>
      </w:pPr>
      <w:r>
        <w:rPr>
          <w:sz w:val="20"/>
        </w:rPr>
      </w:r>
    </w:p>
    <w:p>
      <w:pPr>
        <w:pStyle w:val="0"/>
        <w:ind w:firstLine="540"/>
        <w:jc w:val="both"/>
      </w:pPr>
      <w:r>
        <w:rPr>
          <w:sz w:val="20"/>
        </w:rPr>
        <w:t xml:space="preserve">Согласно уточненным прогнозным показателям социально-экономического развития Владимирской области объем валового регионального продукта (далее - ВРП) в 2022 году составит 651870,2 млн. рублей, индекс физического объема ВРП - 103,2%, прибыль прибыльных организаций - 116261,2 млн. рублей, объем инвестиций в основной капитал - 103356,6 млн. рублей, фонд заработной платы - 188747 млн. рублей. Представленные Департаментом регионального развития области уточненные прогнозные данные на 2022 год увеличены по отношению к показателям, утвержденным распоряжением администрации области от 9 сентября 2020 г. N 740-р: по объему ВРП - на 24,2%; прибыли прибыльных организаций - на 25,8%; инвестициям - на 8,6%, фонду заработной платы работников - на 8,5%.</w:t>
      </w:r>
    </w:p>
    <w:p>
      <w:pPr>
        <w:pStyle w:val="0"/>
        <w:spacing w:before="200" w:line-rule="auto"/>
        <w:ind w:firstLine="540"/>
        <w:jc w:val="both"/>
      </w:pPr>
      <w:r>
        <w:rPr>
          <w:sz w:val="20"/>
        </w:rPr>
        <w:t xml:space="preserve">В 2023 году объем ВРП составит 697611,9 млн. рублей и увеличится в 2024 году до 748718,9 млн. рублей, индекс физического объема ВРП в 2024 году останется на уровне 2023 года в размере 103%. Прибыль прибыльных организаций повысится с 123818,1 млн. рублей в 2023 году до 132733,1 млн. рублей в 2024 году, фонд заработной платы в 2023 году составит 198820 млн. рублей, в 2024 году - 210153 млн. рублей. Объем инвестиций в основной капитал прогнозируется в 2023 году в сумме 112212,5 млн. рублей, в 2024 году - 122888,6 млн. рублей.</w:t>
      </w:r>
    </w:p>
    <w:p>
      <w:pPr>
        <w:pStyle w:val="0"/>
        <w:spacing w:before="200" w:line-rule="auto"/>
        <w:ind w:firstLine="540"/>
        <w:jc w:val="both"/>
      </w:pPr>
      <w:r>
        <w:rPr>
          <w:sz w:val="20"/>
        </w:rPr>
        <w:t xml:space="preserve">Одним из основных показателей, применяемых для определения параметров доходной части бюджета, является индекс потребительских цен, который прогнозируется на период 2022 - 2024 годов в размере 104%.</w:t>
      </w:r>
    </w:p>
    <w:p>
      <w:pPr>
        <w:pStyle w:val="0"/>
        <w:jc w:val="both"/>
      </w:pPr>
      <w:r>
        <w:rPr>
          <w:sz w:val="20"/>
        </w:rPr>
      </w:r>
    </w:p>
    <w:p>
      <w:pPr>
        <w:pStyle w:val="2"/>
        <w:outlineLvl w:val="1"/>
        <w:jc w:val="center"/>
      </w:pPr>
      <w:r>
        <w:rPr>
          <w:sz w:val="20"/>
        </w:rPr>
        <w:t xml:space="preserve">III. Основные направления налоговой политики на 2022 год</w:t>
      </w:r>
    </w:p>
    <w:p>
      <w:pPr>
        <w:pStyle w:val="2"/>
        <w:jc w:val="center"/>
      </w:pPr>
      <w:r>
        <w:rPr>
          <w:sz w:val="20"/>
        </w:rPr>
        <w:t xml:space="preserve">и на плановый период 2023 и 2024 годов</w:t>
      </w:r>
    </w:p>
    <w:p>
      <w:pPr>
        <w:pStyle w:val="0"/>
        <w:jc w:val="both"/>
      </w:pPr>
      <w:r>
        <w:rPr>
          <w:sz w:val="20"/>
        </w:rPr>
      </w:r>
    </w:p>
    <w:p>
      <w:pPr>
        <w:pStyle w:val="0"/>
        <w:ind w:firstLine="540"/>
        <w:jc w:val="both"/>
      </w:pPr>
      <w:r>
        <w:rPr>
          <w:sz w:val="20"/>
        </w:rPr>
        <w:t xml:space="preserve">В 2022 - 2024 годах будет продолжена реализация основных целей и задач налоговой политики, предусмотренных в предыдущие годы.</w:t>
      </w:r>
    </w:p>
    <w:p>
      <w:pPr>
        <w:pStyle w:val="0"/>
        <w:spacing w:before="200" w:line-rule="auto"/>
        <w:ind w:firstLine="540"/>
        <w:jc w:val="both"/>
      </w:pPr>
      <w:r>
        <w:rPr>
          <w:sz w:val="20"/>
        </w:rPr>
        <w:t xml:space="preserve">Налоговая политика Владимирской области в 2022 году и на плановый период до 2024 года ориентирована на развитие доходного потенциала области на основе экономического роста.</w:t>
      </w:r>
    </w:p>
    <w:p>
      <w:pPr>
        <w:pStyle w:val="0"/>
        <w:spacing w:before="200" w:line-rule="auto"/>
        <w:ind w:firstLine="540"/>
        <w:jc w:val="both"/>
      </w:pPr>
      <w:r>
        <w:rPr>
          <w:sz w:val="20"/>
        </w:rPr>
        <w:t xml:space="preserve">Основными направлениями налоговой политики Владимирской области в среднесрочной перспективе являются:</w:t>
      </w:r>
    </w:p>
    <w:p>
      <w:pPr>
        <w:pStyle w:val="0"/>
        <w:spacing w:before="200" w:line-rule="auto"/>
        <w:ind w:firstLine="540"/>
        <w:jc w:val="both"/>
      </w:pPr>
      <w:r>
        <w:rPr>
          <w:sz w:val="20"/>
        </w:rPr>
        <w:t xml:space="preserve">- совершенствование налогового законодательства области с учетом изменений в налоговом законодательстве Российской Федерации;</w:t>
      </w:r>
    </w:p>
    <w:p>
      <w:pPr>
        <w:pStyle w:val="0"/>
        <w:spacing w:before="200" w:line-rule="auto"/>
        <w:ind w:firstLine="540"/>
        <w:jc w:val="both"/>
      </w:pPr>
      <w:r>
        <w:rPr>
          <w:sz w:val="20"/>
        </w:rPr>
        <w:t xml:space="preserve">- реализация механизмов налогового стимулирования в рамках приоритетных направлений промышленной и инвестиционной политики области;</w:t>
      </w:r>
    </w:p>
    <w:p>
      <w:pPr>
        <w:pStyle w:val="0"/>
        <w:spacing w:before="200" w:line-rule="auto"/>
        <w:ind w:firstLine="540"/>
        <w:jc w:val="both"/>
      </w:pPr>
      <w:r>
        <w:rPr>
          <w:sz w:val="20"/>
        </w:rPr>
        <w:t xml:space="preserve">- обеспечение бюджетной, экономической и социальной эффективности налоговых расходов;</w:t>
      </w:r>
    </w:p>
    <w:p>
      <w:pPr>
        <w:pStyle w:val="0"/>
        <w:spacing w:before="200" w:line-rule="auto"/>
        <w:ind w:firstLine="540"/>
        <w:jc w:val="both"/>
      </w:pPr>
      <w:r>
        <w:rPr>
          <w:sz w:val="20"/>
        </w:rPr>
        <w:t xml:space="preserve">- оказание содействия среднему и малому бизнесу для развития предпринимательской деятельности;</w:t>
      </w:r>
    </w:p>
    <w:p>
      <w:pPr>
        <w:pStyle w:val="0"/>
        <w:spacing w:before="200" w:line-rule="auto"/>
        <w:ind w:firstLine="540"/>
        <w:jc w:val="both"/>
      </w:pPr>
      <w:r>
        <w:rPr>
          <w:sz w:val="20"/>
        </w:rPr>
        <w:t xml:space="preserve">- усиление мер по укреплению налоговой дисциплины налогоплательщиков;</w:t>
      </w:r>
    </w:p>
    <w:p>
      <w:pPr>
        <w:pStyle w:val="0"/>
        <w:spacing w:before="200" w:line-rule="auto"/>
        <w:ind w:firstLine="540"/>
        <w:jc w:val="both"/>
      </w:pPr>
      <w:r>
        <w:rPr>
          <w:sz w:val="20"/>
        </w:rPr>
        <w:t xml:space="preserve">- повышение эффективности управления государственным имуществом Владимирской области.</w:t>
      </w:r>
    </w:p>
    <w:p>
      <w:pPr>
        <w:pStyle w:val="0"/>
        <w:spacing w:before="200" w:line-rule="auto"/>
        <w:ind w:firstLine="540"/>
        <w:jc w:val="both"/>
      </w:pPr>
      <w:r>
        <w:rPr>
          <w:sz w:val="20"/>
        </w:rPr>
        <w:t xml:space="preserve">В трехлетней перспективе будет продолжена работа по укреплению доходной базы бюджета области за счет наращивания стабильных доходных источников и мобилизации в бюджет имеющихся резервов.</w:t>
      </w:r>
    </w:p>
    <w:p>
      <w:pPr>
        <w:pStyle w:val="0"/>
        <w:spacing w:before="200" w:line-rule="auto"/>
        <w:ind w:firstLine="540"/>
        <w:jc w:val="both"/>
      </w:pPr>
      <w:r>
        <w:rPr>
          <w:sz w:val="20"/>
        </w:rPr>
        <w:t xml:space="preserve">Рост бюджетных поступлений планируется достичь за счет:</w:t>
      </w:r>
    </w:p>
    <w:p>
      <w:pPr>
        <w:pStyle w:val="0"/>
        <w:spacing w:before="200" w:line-rule="auto"/>
        <w:ind w:firstLine="540"/>
        <w:jc w:val="both"/>
      </w:pPr>
      <w:r>
        <w:rPr>
          <w:sz w:val="20"/>
        </w:rPr>
        <w:t xml:space="preserve">- роста инвестиционной и инновационной активности посредством оказания государственной поддержки инвесторам, в том числе путем направления бюджетных инвестиций в объекты инфраструктуры за счет средств областного бюджета, высвобождаемых в результате проведенной реструктуризации бюджетных кредитов, предоставленных области из федерального бюджета;</w:t>
      </w:r>
    </w:p>
    <w:p>
      <w:pPr>
        <w:pStyle w:val="0"/>
        <w:spacing w:before="200" w:line-rule="auto"/>
        <w:ind w:firstLine="540"/>
        <w:jc w:val="both"/>
      </w:pPr>
      <w:r>
        <w:rPr>
          <w:sz w:val="20"/>
        </w:rPr>
        <w:t xml:space="preserve">- совершенствования применения специальных налоговых режимов для развития малого и среднего предпринимательства;</w:t>
      </w:r>
    </w:p>
    <w:p>
      <w:pPr>
        <w:pStyle w:val="0"/>
        <w:spacing w:before="200" w:line-rule="auto"/>
        <w:ind w:firstLine="540"/>
        <w:jc w:val="both"/>
      </w:pPr>
      <w:r>
        <w:rPr>
          <w:sz w:val="20"/>
        </w:rPr>
        <w:t xml:space="preserve">- выявления и пресечения схем минимизации налогов, совершенствования методов контроля легализации "теневой" заработной платы;</w:t>
      </w:r>
    </w:p>
    <w:p>
      <w:pPr>
        <w:pStyle w:val="0"/>
        <w:spacing w:before="200" w:line-rule="auto"/>
        <w:ind w:firstLine="540"/>
        <w:jc w:val="both"/>
      </w:pPr>
      <w:r>
        <w:rPr>
          <w:sz w:val="20"/>
        </w:rPr>
        <w:t xml:space="preserve">- расширение налоговой базы по имущественным налогам путем выявления и включения в налогооблагаемую базу недвижимого имущества и земельных участков, которые до настоящего времени не зарегистрированы;</w:t>
      </w:r>
    </w:p>
    <w:p>
      <w:pPr>
        <w:pStyle w:val="0"/>
        <w:spacing w:before="200" w:line-rule="auto"/>
        <w:ind w:firstLine="540"/>
        <w:jc w:val="both"/>
      </w:pPr>
      <w:r>
        <w:rPr>
          <w:sz w:val="20"/>
        </w:rPr>
        <w:t xml:space="preserve">- совершенствования методов налогового администрирования, повышения уровня ответственности главных администраторов доходов за выполнение плановых показателей поступления доходов в консолидированный бюджет области;</w:t>
      </w:r>
    </w:p>
    <w:p>
      <w:pPr>
        <w:pStyle w:val="0"/>
        <w:spacing w:before="200" w:line-rule="auto"/>
        <w:ind w:firstLine="540"/>
        <w:jc w:val="both"/>
      </w:pPr>
      <w:r>
        <w:rPr>
          <w:sz w:val="20"/>
        </w:rPr>
        <w:t xml:space="preserve">- проведения оценки социальной и бюджетной эффективности налоговых расходов консолидированного бюджета области;</w:t>
      </w:r>
    </w:p>
    <w:p>
      <w:pPr>
        <w:pStyle w:val="0"/>
        <w:spacing w:before="200" w:line-rule="auto"/>
        <w:ind w:firstLine="540"/>
        <w:jc w:val="both"/>
      </w:pPr>
      <w:r>
        <w:rPr>
          <w:sz w:val="20"/>
        </w:rPr>
        <w:t xml:space="preserve">- совершенствования управления областной и муниципальной собственностью.</w:t>
      </w:r>
    </w:p>
    <w:p>
      <w:pPr>
        <w:pStyle w:val="0"/>
        <w:spacing w:before="200" w:line-rule="auto"/>
        <w:ind w:firstLine="540"/>
        <w:jc w:val="both"/>
      </w:pPr>
      <w:r>
        <w:rPr>
          <w:sz w:val="20"/>
        </w:rPr>
        <w:t xml:space="preserve">Координация работы органов государственной власти и органов местного самоуправления по мобилизации доходов в бюджет области будет осуществляться в рамках деятельности межведомственных рабочих групп и комиссий по платежам в областной и местные бюджеты и легализации объектов налогообложения.</w:t>
      </w:r>
    </w:p>
    <w:p>
      <w:pPr>
        <w:pStyle w:val="0"/>
        <w:spacing w:before="200" w:line-rule="auto"/>
        <w:ind w:firstLine="540"/>
        <w:jc w:val="both"/>
      </w:pPr>
      <w:r>
        <w:rPr>
          <w:sz w:val="20"/>
        </w:rPr>
        <w:t xml:space="preserve">При формировании основных направлений налоговой политики области учтены внесенные изменения в налоговое и бюджетное законодательство.</w:t>
      </w:r>
    </w:p>
    <w:p>
      <w:pPr>
        <w:pStyle w:val="0"/>
        <w:spacing w:before="200" w:line-rule="auto"/>
        <w:ind w:firstLine="540"/>
        <w:jc w:val="both"/>
      </w:pPr>
      <w:r>
        <w:rPr>
          <w:sz w:val="20"/>
        </w:rPr>
        <w:t xml:space="preserve">На областном уровне сохраняются налоговые расходы (налоговые льготы и налоговые вычеты):</w:t>
      </w:r>
    </w:p>
    <w:p>
      <w:pPr>
        <w:pStyle w:val="0"/>
        <w:spacing w:before="200" w:line-rule="auto"/>
        <w:ind w:firstLine="540"/>
        <w:jc w:val="both"/>
      </w:pPr>
      <w:r>
        <w:rPr>
          <w:sz w:val="20"/>
        </w:rPr>
        <w:t xml:space="preserve">- для инвесторов - по налогу на прибыль организаций и по налогу на имущество организаций в виде установления дифференцированных налоговых ставок в зависимости от категории инвестиционного проекта и объема инвестиций (</w:t>
      </w:r>
      <w:hyperlink w:history="0" r:id="rId13" w:tooltip="Закон Владимирской области от 12.11.2015 N 157-ОЗ (ред. от 08.11.2022) &quot;Об установлении пониженной ставки налога на прибыль организаций для организаций, являющихся получателями государственной поддержки инвестиционной деятельности&quot; (принят постановлением ЗС Владимирской области от 28.10.2015 N 286) {КонсультантПлюс}">
        <w:r>
          <w:rPr>
            <w:sz w:val="20"/>
            <w:color w:val="0000ff"/>
          </w:rPr>
          <w:t xml:space="preserve">Закон</w:t>
        </w:r>
      </w:hyperlink>
      <w:r>
        <w:rPr>
          <w:sz w:val="20"/>
        </w:rPr>
        <w:t xml:space="preserve"> области от 12 ноября 2015 г. N 157-ОЗ "Об установлении пониженной ставки налога на прибыль организаций для организаций, являющихся получателями государственной поддержки инвестиционной деятельности" и </w:t>
      </w:r>
      <w:hyperlink w:history="0" r:id="rId14" w:tooltip="Закон Владимирской области от 12.11.2003 N 110-ОЗ (ред. от 08.11.2022) &quot;О налоге на имущество организаций&quot; (принят постановлением ЗС Владимирской области от 29.10.2003 N 568) (с изм. и доп., вступившими в силу с 01.01.2023) {КонсультантПлюс}">
        <w:r>
          <w:rPr>
            <w:sz w:val="20"/>
            <w:color w:val="0000ff"/>
          </w:rPr>
          <w:t xml:space="preserve">Закон</w:t>
        </w:r>
      </w:hyperlink>
      <w:r>
        <w:rPr>
          <w:sz w:val="20"/>
        </w:rPr>
        <w:t xml:space="preserve"> области от 12 ноября 2003 г. N 110-ОЗ "О налоге на имущество организаций");</w:t>
      </w:r>
    </w:p>
    <w:p>
      <w:pPr>
        <w:pStyle w:val="0"/>
        <w:spacing w:before="200" w:line-rule="auto"/>
        <w:ind w:firstLine="540"/>
        <w:jc w:val="both"/>
      </w:pPr>
      <w:r>
        <w:rPr>
          <w:sz w:val="20"/>
        </w:rPr>
        <w:t xml:space="preserve">- для участников региональных инвестиционных проектов - по налогу на прибыль организаций в виде установления пониженной ставки налога на прибыль в размере 10% (</w:t>
      </w:r>
      <w:hyperlink w:history="0" r:id="rId15" w:tooltip="Закон Владимирской области от 10.05.2017 N 39-ОЗ (ред. от 28.11.2019) &quot;Об установлении пониженной налоговой ставки налога на прибыль организаций, подлежащего зачислению в областной бюджет, для участников региональных инвестиционных проектов и специальных инвестиционных контрактов&quot; (принят постановлением ЗС Владимирской области от 27.04.2017 N 106) {КонсультантПлюс}">
        <w:r>
          <w:rPr>
            <w:sz w:val="20"/>
            <w:color w:val="0000ff"/>
          </w:rPr>
          <w:t xml:space="preserve">Закон</w:t>
        </w:r>
      </w:hyperlink>
      <w:r>
        <w:rPr>
          <w:sz w:val="20"/>
        </w:rPr>
        <w:t xml:space="preserve"> области от 10 мая 2017 г. N 39-ОЗ "Об установлении пониженной налоговой ставки налога на прибыль организаций, подлежащего зачислению в областной бюджет, для участников региональных инвестиционных проектов и специальных инвестиционных контрактов");</w:t>
      </w:r>
    </w:p>
    <w:p>
      <w:pPr>
        <w:pStyle w:val="0"/>
        <w:spacing w:before="200" w:line-rule="auto"/>
        <w:ind w:firstLine="540"/>
        <w:jc w:val="both"/>
      </w:pPr>
      <w:r>
        <w:rPr>
          <w:sz w:val="20"/>
        </w:rPr>
        <w:t xml:space="preserve">- для участников специальных инвестиционных контрактов - по налогу на прибыль организаций в виде установления пониженной налоговой ставки в размере 5% (</w:t>
      </w:r>
      <w:hyperlink w:history="0" r:id="rId16" w:tooltip="Закон Владимирской области от 10.05.2017 N 39-ОЗ (ред. от 28.11.2019) &quot;Об установлении пониженной налоговой ставки налога на прибыль организаций, подлежащего зачислению в областной бюджет, для участников региональных инвестиционных проектов и специальных инвестиционных контрактов&quot; (принят постановлением ЗС Владимирской области от 27.04.2017 N 106) {КонсультантПлюс}">
        <w:r>
          <w:rPr>
            <w:sz w:val="20"/>
            <w:color w:val="0000ff"/>
          </w:rPr>
          <w:t xml:space="preserve">Закон</w:t>
        </w:r>
      </w:hyperlink>
      <w:r>
        <w:rPr>
          <w:sz w:val="20"/>
        </w:rPr>
        <w:t xml:space="preserve"> области от 10 мая 2017 г. N 39-ОЗ "Об установлении пониженной налоговой ставки налога на прибыль организаций, подлежащего зачислению в областной бюджет, для участников региональных инвестиционных проектов и специальных инвестиционных контрактов");</w:t>
      </w:r>
    </w:p>
    <w:p>
      <w:pPr>
        <w:pStyle w:val="0"/>
        <w:spacing w:before="200" w:line-rule="auto"/>
        <w:ind w:firstLine="540"/>
        <w:jc w:val="both"/>
      </w:pPr>
      <w:r>
        <w:rPr>
          <w:sz w:val="20"/>
        </w:rPr>
        <w:t xml:space="preserve">- для резидентов территории опережающего социально-экономического развития - по налогу на прибыль организаций в виде установления ставки в размере 0% в течение пяти налоговых периодов, 10% - в течение следующих пяти налоговых периодов и по налогу на имущество организаций - в виде полного освобождения в течение 10 лет (</w:t>
      </w:r>
      <w:hyperlink w:history="0" r:id="rId17" w:tooltip="Закон Владимирской области от 12.11.2003 N 110-ОЗ (ред. от 08.11.2022) &quot;О налоге на имущество организаций&quot; (принят постановлением ЗС Владимирской области от 29.10.2003 N 568) (с изм. и доп., вступившими в силу с 01.01.2023) {КонсультантПлюс}">
        <w:r>
          <w:rPr>
            <w:sz w:val="20"/>
            <w:color w:val="0000ff"/>
          </w:rPr>
          <w:t xml:space="preserve">Закон</w:t>
        </w:r>
      </w:hyperlink>
      <w:r>
        <w:rPr>
          <w:sz w:val="20"/>
        </w:rPr>
        <w:t xml:space="preserve"> области от 12 ноября 2003 г. N 110-ОЗ "О налоге на имущество организаций" и </w:t>
      </w:r>
      <w:hyperlink w:history="0" r:id="rId18" w:tooltip="Закон Владимирской области от 04.05.2018 N 48-ОЗ (ред. от 08.11.2022) &quot;Об установлении пониженной налоговой ставки налога на прибыль организаций для резидентов территорий опережающего развития, созданных на территориях монопрофильных муниципальных образований (моногородов) Владимирской области&quot; (принят постановлением ЗС Владимирской области от 25.04.2018 N 105) {КонсультантПлюс}">
        <w:r>
          <w:rPr>
            <w:sz w:val="20"/>
            <w:color w:val="0000ff"/>
          </w:rPr>
          <w:t xml:space="preserve">Закон</w:t>
        </w:r>
      </w:hyperlink>
      <w:r>
        <w:rPr>
          <w:sz w:val="20"/>
        </w:rPr>
        <w:t xml:space="preserve"> области от 4 мая 2018 г. N 48-ОЗ "Об установлении пониженной налоговой ставки налога на прибыль организаций для резидентов территорий опережающего социально-экономического развития, созданных на территориях монопрофильных муниципальных образований (моногородов) Владимирской области");</w:t>
      </w:r>
    </w:p>
    <w:p>
      <w:pPr>
        <w:pStyle w:val="0"/>
        <w:spacing w:before="200" w:line-rule="auto"/>
        <w:ind w:firstLine="540"/>
        <w:jc w:val="both"/>
      </w:pPr>
      <w:r>
        <w:rPr>
          <w:sz w:val="20"/>
        </w:rPr>
        <w:t xml:space="preserve">- для резидентов особых экономических зон промышленно-производственного типа - по налогу на прибыль организаций в виде установления ставки в размере 0% в течение семи налоговых периодов, 5% - в период с восьмого по двенадцатый налоговый период включительно, 13,5% - по истечении двенадцати налоговых периодов, а также по транспортному налогу - в виде полного освобождения от уплаты налога в отношении грузовых автомобилей, автобусов и других самоходных машин и механизмов на пневматическом и гусеничном ходу в течение десяти налоговых периодов (</w:t>
      </w:r>
      <w:hyperlink w:history="0" r:id="rId19" w:tooltip="Закон Владимирской области от 28.11.2019 N 102-ОЗ &quot;Об установлении для организаций - резидентов особых экономических зон, созданных на территории Владимирской области, пониженной налоговой ставки налога на прибыль организаций&quot; (принят постановлением ЗС Владимирской области от 26.11.2019 N 360) {КонсультантПлюс}">
        <w:r>
          <w:rPr>
            <w:sz w:val="20"/>
            <w:color w:val="0000ff"/>
          </w:rPr>
          <w:t xml:space="preserve">Закон</w:t>
        </w:r>
      </w:hyperlink>
      <w:r>
        <w:rPr>
          <w:sz w:val="20"/>
        </w:rPr>
        <w:t xml:space="preserve"> области от 28 ноября 2019 г. N 102-ОЗ "Об установлении для организаций - резидентов особых экономических зон, созданных на территории Владимирской области, пониженной налоговой ставки налога на прибыль организаций" и </w:t>
      </w:r>
      <w:hyperlink w:history="0" r:id="rId20" w:tooltip="Закон Владимирской области от 27.11.2002 N 119-ОЗ (ред. от 29.09.2021) &quot;О транспортном налоге&quot; (принят постановлением ЗС Владимирской области от 27.11.2002 N 513) {КонсультантПлюс}">
        <w:r>
          <w:rPr>
            <w:sz w:val="20"/>
            <w:color w:val="0000ff"/>
          </w:rPr>
          <w:t xml:space="preserve">Закон</w:t>
        </w:r>
      </w:hyperlink>
      <w:r>
        <w:rPr>
          <w:sz w:val="20"/>
        </w:rPr>
        <w:t xml:space="preserve"> области от 27 ноября 2002 г. N 119-ОЗ "О транспортном налоге").</w:t>
      </w:r>
    </w:p>
    <w:p>
      <w:pPr>
        <w:pStyle w:val="0"/>
        <w:spacing w:before="200" w:line-rule="auto"/>
        <w:ind w:firstLine="540"/>
        <w:jc w:val="both"/>
      </w:pPr>
      <w:r>
        <w:rPr>
          <w:sz w:val="20"/>
        </w:rPr>
        <w:t xml:space="preserve">Для стимулирования налогоплательщиков к обновлению основных фондов </w:t>
      </w:r>
      <w:hyperlink w:history="0" r:id="rId21" w:tooltip="Закон Владимирской области от 10.08.2020 N 58-ОЗ (ред. от 29.11.2022) &quot;О применении на территории Владимирской области инвестиционного налогового вычета по налогу на прибыль организаций&quot; (принят постановлением ЗС Владимирской области от 28.07.2020 N 187) {КонсультантПлюс}">
        <w:r>
          <w:rPr>
            <w:sz w:val="20"/>
            <w:color w:val="0000ff"/>
          </w:rPr>
          <w:t xml:space="preserve">Законом</w:t>
        </w:r>
      </w:hyperlink>
      <w:r>
        <w:rPr>
          <w:sz w:val="20"/>
        </w:rPr>
        <w:t xml:space="preserve"> области от 10 августа 2020 г. N 58-ОЗ "О применении на территории Владимирской области инвестиционного налогового вычета по налогу на прибыль организаций" введен инвестиционный налоговый вычет по налогу на прибыль организаций для:</w:t>
      </w:r>
    </w:p>
    <w:p>
      <w:pPr>
        <w:pStyle w:val="0"/>
        <w:spacing w:before="200" w:line-rule="auto"/>
        <w:ind w:firstLine="540"/>
        <w:jc w:val="both"/>
      </w:pPr>
      <w:r>
        <w:rPr>
          <w:sz w:val="20"/>
        </w:rPr>
        <w:t xml:space="preserve">- организаций, реализующих на территории области инвестиционные проекты;</w:t>
      </w:r>
    </w:p>
    <w:p>
      <w:pPr>
        <w:pStyle w:val="0"/>
        <w:spacing w:before="200" w:line-rule="auto"/>
        <w:ind w:firstLine="540"/>
        <w:jc w:val="both"/>
      </w:pPr>
      <w:r>
        <w:rPr>
          <w:sz w:val="20"/>
        </w:rPr>
        <w:t xml:space="preserve">- организаций - участников национального проекта "Производительность труда и поддержка занятости";</w:t>
      </w:r>
    </w:p>
    <w:p>
      <w:pPr>
        <w:pStyle w:val="0"/>
        <w:spacing w:before="200" w:line-rule="auto"/>
        <w:ind w:firstLine="540"/>
        <w:jc w:val="both"/>
      </w:pPr>
      <w:r>
        <w:rPr>
          <w:sz w:val="20"/>
        </w:rPr>
        <w:t xml:space="preserve">- организаций, являющихся стороной соглашения о государственно-частном партнерстве, муниципально-частном партнерстве.</w:t>
      </w:r>
    </w:p>
    <w:p>
      <w:pPr>
        <w:pStyle w:val="0"/>
        <w:spacing w:before="200" w:line-rule="auto"/>
        <w:ind w:firstLine="540"/>
        <w:jc w:val="both"/>
      </w:pPr>
      <w:r>
        <w:rPr>
          <w:sz w:val="20"/>
        </w:rPr>
        <w:t xml:space="preserve">По данным Управления Федеральной налоговой службы по Владимирской области в 1 квартале 2021 года воспользовались правом применения инвестиционного налогового вычета по налогу на прибыль организаций три организации на сумму 121,7 млн. рублей (ООО "Магистраль ЛТД", ООО "Мон'делиз Русь", ООО "Акрилан").</w:t>
      </w:r>
    </w:p>
    <w:p>
      <w:pPr>
        <w:pStyle w:val="0"/>
        <w:spacing w:before="200" w:line-rule="auto"/>
        <w:ind w:firstLine="540"/>
        <w:jc w:val="both"/>
      </w:pPr>
      <w:r>
        <w:rPr>
          <w:sz w:val="20"/>
        </w:rPr>
        <w:t xml:space="preserve">В целях социальной поддержки граждан сохраняются льготы по транспортному налогу с физических лиц (</w:t>
      </w:r>
      <w:hyperlink w:history="0" r:id="rId22" w:tooltip="Закон Владимирской области от 27.11.2002 N 119-ОЗ (ред. от 29.09.2021) &quot;О транспортном налоге&quot; (принят постановлением ЗС Владимирской области от 27.11.2002 N 513) {КонсультантПлюс}">
        <w:r>
          <w:rPr>
            <w:sz w:val="20"/>
            <w:color w:val="0000ff"/>
          </w:rPr>
          <w:t xml:space="preserve">Закон</w:t>
        </w:r>
      </w:hyperlink>
      <w:r>
        <w:rPr>
          <w:sz w:val="20"/>
        </w:rPr>
        <w:t xml:space="preserve"> области от 27 ноября 2002 года N 119-ОЗ "О транспортном налоге"):</w:t>
      </w:r>
    </w:p>
    <w:p>
      <w:pPr>
        <w:pStyle w:val="0"/>
        <w:spacing w:before="200" w:line-rule="auto"/>
        <w:ind w:firstLine="540"/>
        <w:jc w:val="both"/>
      </w:pPr>
      <w:r>
        <w:rPr>
          <w:sz w:val="20"/>
        </w:rPr>
        <w:t xml:space="preserve">- родителям (усыновителям, опекунам, попечителям), имеющим детей-инвалидов;</w:t>
      </w:r>
    </w:p>
    <w:p>
      <w:pPr>
        <w:pStyle w:val="0"/>
        <w:spacing w:before="200" w:line-rule="auto"/>
        <w:ind w:firstLine="540"/>
        <w:jc w:val="both"/>
      </w:pPr>
      <w:r>
        <w:rPr>
          <w:sz w:val="20"/>
        </w:rPr>
        <w:t xml:space="preserve">- мужчинам, достигшим возраста 60 лет, и женщинам, достигшим возраста 55 лет;</w:t>
      </w:r>
    </w:p>
    <w:p>
      <w:pPr>
        <w:pStyle w:val="0"/>
        <w:spacing w:before="200" w:line-rule="auto"/>
        <w:ind w:firstLine="540"/>
        <w:jc w:val="both"/>
      </w:pPr>
      <w:r>
        <w:rPr>
          <w:sz w:val="20"/>
        </w:rPr>
        <w:t xml:space="preserve">- военнослужащим войск национальной гвардии;</w:t>
      </w:r>
    </w:p>
    <w:p>
      <w:pPr>
        <w:pStyle w:val="0"/>
        <w:spacing w:before="200" w:line-rule="auto"/>
        <w:ind w:firstLine="540"/>
        <w:jc w:val="both"/>
      </w:pPr>
      <w:r>
        <w:rPr>
          <w:sz w:val="20"/>
        </w:rPr>
        <w:t xml:space="preserve">- ветеранам боевых действий.</w:t>
      </w:r>
    </w:p>
    <w:p>
      <w:pPr>
        <w:pStyle w:val="0"/>
        <w:spacing w:before="200" w:line-rule="auto"/>
        <w:ind w:firstLine="540"/>
        <w:jc w:val="both"/>
      </w:pPr>
      <w:r>
        <w:rPr>
          <w:sz w:val="20"/>
        </w:rPr>
        <w:t xml:space="preserve">Объем налоговых расходов областного бюджета составит в 2022 году 7751,3 млн. рублей, в 2023 году - 7837,5 млн. рублей, в 2024 году - 8207,3 млн. рублей.</w:t>
      </w:r>
    </w:p>
    <w:p>
      <w:pPr>
        <w:pStyle w:val="0"/>
        <w:spacing w:before="200" w:line-rule="auto"/>
        <w:ind w:firstLine="540"/>
        <w:jc w:val="both"/>
      </w:pPr>
      <w:r>
        <w:rPr>
          <w:sz w:val="20"/>
        </w:rPr>
        <w:t xml:space="preserve">В соответствии со </w:t>
      </w:r>
      <w:hyperlink w:history="0" r:id="rId23" w:tooltip="&quot;Бюджетный кодекс Российской Федерации&quot; от 31.07.1998 N 145-ФЗ (ред. от 19.12.2022) ------------ Недействующая редакция {КонсультантПлюс}">
        <w:r>
          <w:rPr>
            <w:sz w:val="20"/>
            <w:color w:val="0000ff"/>
          </w:rPr>
          <w:t xml:space="preserve">статьей 174.3</w:t>
        </w:r>
      </w:hyperlink>
      <w:r>
        <w:rPr>
          <w:sz w:val="20"/>
        </w:rPr>
        <w:t xml:space="preserve"> Бюджетного кодекса Российской Федерации ежегодно формируется перечень налоговых расходов Владимирской области в порядке, установленном </w:t>
      </w:r>
      <w:hyperlink w:history="0" r:id="rId24" w:tooltip="Постановление Правительства РФ от 12.04.2019 N 439 (ред. от 08.02.2022) &quot;Об утверждении Правил формирования перечня налоговых расходов Российской Федерации и оценки налоговых расходов Российской Федерации&quot; {КонсультантПлюс}">
        <w:r>
          <w:rPr>
            <w:sz w:val="20"/>
            <w:color w:val="0000ff"/>
          </w:rPr>
          <w:t xml:space="preserve">постановлением</w:t>
        </w:r>
      </w:hyperlink>
      <w:r>
        <w:rPr>
          <w:sz w:val="20"/>
        </w:rPr>
        <w:t xml:space="preserve"> Правительства Российской Федерации от 12 апреля 2019 г. N 439 "Об утверждении Правил формирования перечня налоговых расходов Российской Федерации и оценки налоговых расходов Российской Федерации" и </w:t>
      </w:r>
      <w:hyperlink w:history="0" r:id="rId25" w:tooltip="Постановление администрации Владимирской обл. от 06.09.2019 N 629 &quot;Об утверждении Порядка формирования перечня налоговых расходов Владимирской области и оценки налоговых расходов Владимирской области&quot; {КонсультантПлюс}">
        <w:r>
          <w:rPr>
            <w:sz w:val="20"/>
            <w:color w:val="0000ff"/>
          </w:rPr>
          <w:t xml:space="preserve">постановлением</w:t>
        </w:r>
      </w:hyperlink>
      <w:r>
        <w:rPr>
          <w:sz w:val="20"/>
        </w:rPr>
        <w:t xml:space="preserve"> администрации области от 6 сентября 2019 г. N 629 "Об утверждении Порядка формирования перечня налоговых расходов Владимирской области и оценки налоговых расходов Владимирской области".</w:t>
      </w:r>
    </w:p>
    <w:p>
      <w:pPr>
        <w:pStyle w:val="0"/>
        <w:spacing w:before="200" w:line-rule="auto"/>
        <w:ind w:firstLine="540"/>
        <w:jc w:val="both"/>
      </w:pPr>
      <w:r>
        <w:rPr>
          <w:sz w:val="20"/>
        </w:rPr>
        <w:t xml:space="preserve">Оценка налоговых расходов Владимирской области осуществляется кураторами налоговых расходов ежегодно в соответствии с </w:t>
      </w:r>
      <w:hyperlink w:history="0" r:id="rId26" w:tooltip="Постановление Правительства РФ от 22.06.2019 N 796 (ред. от 15.06.2022) &quot;Об общих требованиях к оценке налоговых расходов субъектов Российской Федерации и муниципальных образований&quot; ------------ Недействующая редакция {КонсультантПлюс}">
        <w:r>
          <w:rPr>
            <w:sz w:val="20"/>
            <w:color w:val="0000ff"/>
          </w:rPr>
          <w:t xml:space="preserve">постановлением</w:t>
        </w:r>
      </w:hyperlink>
      <w:r>
        <w:rPr>
          <w:sz w:val="20"/>
        </w:rPr>
        <w:t xml:space="preserve"> Правительства Российской Федерации от 22 июня 2019 г. N 796 "Об общих требованиях к оценке налоговых расходов субъектов Российской Федерации и муниципальных образований" и </w:t>
      </w:r>
      <w:hyperlink w:history="0" r:id="rId27" w:tooltip="Постановление администрации Владимирской обл. от 06.09.2019 N 629 &quot;Об утверждении Порядка формирования перечня налоговых расходов Владимирской области и оценки налоговых расходов Владимирской области&quot; {КонсультантПлюс}">
        <w:r>
          <w:rPr>
            <w:sz w:val="20"/>
            <w:color w:val="0000ff"/>
          </w:rPr>
          <w:t xml:space="preserve">постановлением</w:t>
        </w:r>
      </w:hyperlink>
      <w:r>
        <w:rPr>
          <w:sz w:val="20"/>
        </w:rPr>
        <w:t xml:space="preserve"> администрации области от 6 сентября 2019 г. N 629 "Об утверждении Порядка формирования перечня налоговых расходов Владимирской области и оценки налоговых расходов Владимирской области" (таблица 3).</w:t>
      </w:r>
    </w:p>
    <w:p>
      <w:pPr>
        <w:pStyle w:val="0"/>
        <w:jc w:val="both"/>
      </w:pPr>
      <w:r>
        <w:rPr>
          <w:sz w:val="20"/>
        </w:rPr>
      </w:r>
    </w:p>
    <w:p>
      <w:pPr>
        <w:pStyle w:val="0"/>
        <w:jc w:val="right"/>
      </w:pPr>
      <w:r>
        <w:rPr>
          <w:sz w:val="20"/>
        </w:rPr>
        <w:t xml:space="preserve">Таблица 3</w:t>
      </w:r>
    </w:p>
    <w:p>
      <w:pPr>
        <w:pStyle w:val="0"/>
        <w:jc w:val="both"/>
      </w:pPr>
      <w:r>
        <w:rPr>
          <w:sz w:val="20"/>
        </w:rPr>
      </w:r>
    </w:p>
    <w:p>
      <w:pPr>
        <w:pStyle w:val="0"/>
        <w:jc w:val="center"/>
      </w:pPr>
      <w:r>
        <w:rPr>
          <w:sz w:val="20"/>
        </w:rPr>
        <w:t xml:space="preserve">Органы</w:t>
      </w:r>
    </w:p>
    <w:p>
      <w:pPr>
        <w:pStyle w:val="0"/>
        <w:jc w:val="center"/>
      </w:pPr>
      <w:r>
        <w:rPr>
          <w:sz w:val="20"/>
        </w:rPr>
        <w:t xml:space="preserve">исполнительной власти Владимирской области - кураторы</w:t>
      </w:r>
    </w:p>
    <w:p>
      <w:pPr>
        <w:pStyle w:val="0"/>
        <w:jc w:val="center"/>
      </w:pPr>
      <w:r>
        <w:rPr>
          <w:sz w:val="20"/>
        </w:rPr>
        <w:t xml:space="preserve">налоговых расходов Владимирской области</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1757"/>
        <w:gridCol w:w="1984"/>
        <w:gridCol w:w="4762"/>
      </w:tblGrid>
      <w:tr>
        <w:tc>
          <w:tcPr>
            <w:tcW w:w="567" w:type="dxa"/>
          </w:tcPr>
          <w:p>
            <w:pPr>
              <w:pStyle w:val="0"/>
              <w:jc w:val="center"/>
            </w:pPr>
            <w:r>
              <w:rPr>
                <w:sz w:val="20"/>
              </w:rPr>
              <w:t xml:space="preserve">N</w:t>
            </w:r>
          </w:p>
          <w:p>
            <w:pPr>
              <w:pStyle w:val="0"/>
              <w:jc w:val="center"/>
            </w:pPr>
            <w:r>
              <w:rPr>
                <w:sz w:val="20"/>
              </w:rPr>
              <w:t xml:space="preserve">п/п</w:t>
            </w:r>
          </w:p>
        </w:tc>
        <w:tc>
          <w:tcPr>
            <w:tcW w:w="1757" w:type="dxa"/>
          </w:tcPr>
          <w:p>
            <w:pPr>
              <w:pStyle w:val="0"/>
              <w:jc w:val="center"/>
            </w:pPr>
            <w:r>
              <w:rPr>
                <w:sz w:val="20"/>
              </w:rPr>
              <w:t xml:space="preserve">Органы исполнительной власти области - кураторы налоговых расходов области</w:t>
            </w:r>
          </w:p>
        </w:tc>
        <w:tc>
          <w:tcPr>
            <w:tcW w:w="1984" w:type="dxa"/>
          </w:tcPr>
          <w:p>
            <w:pPr>
              <w:pStyle w:val="0"/>
              <w:jc w:val="center"/>
            </w:pPr>
            <w:r>
              <w:rPr>
                <w:sz w:val="20"/>
              </w:rPr>
              <w:t xml:space="preserve">Наименование налогов, по которым предусмотрены налоговые расходы</w:t>
            </w:r>
          </w:p>
          <w:p>
            <w:pPr>
              <w:pStyle w:val="0"/>
              <w:jc w:val="center"/>
            </w:pPr>
            <w:r>
              <w:rPr>
                <w:sz w:val="20"/>
              </w:rPr>
              <w:t xml:space="preserve">(льготы, освобождения и иные преференции, установленные нормативными правовыми актами области)</w:t>
            </w:r>
          </w:p>
        </w:tc>
        <w:tc>
          <w:tcPr>
            <w:tcW w:w="4762" w:type="dxa"/>
          </w:tcPr>
          <w:p>
            <w:pPr>
              <w:pStyle w:val="0"/>
              <w:jc w:val="center"/>
            </w:pPr>
            <w:r>
              <w:rPr>
                <w:sz w:val="20"/>
              </w:rPr>
              <w:t xml:space="preserve">Категория плательщиков налогов, для которых предусмотрены налоговые расходы (льготы, освобождения и иные преференции)</w:t>
            </w:r>
          </w:p>
        </w:tc>
      </w:tr>
      <w:tr>
        <w:tc>
          <w:tcPr>
            <w:tcW w:w="567" w:type="dxa"/>
          </w:tcPr>
          <w:p>
            <w:pPr>
              <w:pStyle w:val="0"/>
              <w:jc w:val="center"/>
            </w:pPr>
            <w:r>
              <w:rPr>
                <w:sz w:val="20"/>
              </w:rPr>
              <w:t xml:space="preserve">1</w:t>
            </w:r>
          </w:p>
        </w:tc>
        <w:tc>
          <w:tcPr>
            <w:tcW w:w="1757" w:type="dxa"/>
          </w:tcPr>
          <w:p>
            <w:pPr>
              <w:pStyle w:val="0"/>
              <w:jc w:val="center"/>
            </w:pPr>
            <w:r>
              <w:rPr>
                <w:sz w:val="20"/>
              </w:rPr>
              <w:t xml:space="preserve">2</w:t>
            </w:r>
          </w:p>
        </w:tc>
        <w:tc>
          <w:tcPr>
            <w:tcW w:w="1984" w:type="dxa"/>
          </w:tcPr>
          <w:p>
            <w:pPr>
              <w:pStyle w:val="0"/>
              <w:jc w:val="center"/>
            </w:pPr>
            <w:r>
              <w:rPr>
                <w:sz w:val="20"/>
              </w:rPr>
              <w:t xml:space="preserve">3</w:t>
            </w:r>
          </w:p>
        </w:tc>
        <w:tc>
          <w:tcPr>
            <w:tcW w:w="4762" w:type="dxa"/>
          </w:tcPr>
          <w:p>
            <w:pPr>
              <w:pStyle w:val="0"/>
              <w:jc w:val="center"/>
            </w:pPr>
            <w:r>
              <w:rPr>
                <w:sz w:val="20"/>
              </w:rPr>
              <w:t xml:space="preserve">4</w:t>
            </w:r>
          </w:p>
        </w:tc>
      </w:tr>
      <w:tr>
        <w:tc>
          <w:tcPr>
            <w:tcW w:w="567" w:type="dxa"/>
            <w:vMerge w:val="restart"/>
          </w:tcPr>
          <w:p>
            <w:pPr>
              <w:pStyle w:val="0"/>
              <w:jc w:val="center"/>
            </w:pPr>
            <w:r>
              <w:rPr>
                <w:sz w:val="20"/>
              </w:rPr>
              <w:t xml:space="preserve">1.</w:t>
            </w:r>
          </w:p>
        </w:tc>
        <w:tc>
          <w:tcPr>
            <w:tcW w:w="1757" w:type="dxa"/>
            <w:vMerge w:val="restart"/>
          </w:tcPr>
          <w:p>
            <w:pPr>
              <w:pStyle w:val="0"/>
            </w:pPr>
            <w:r>
              <w:rPr>
                <w:sz w:val="20"/>
              </w:rPr>
              <w:t xml:space="preserve">Департамент экономического развития Владимирской области</w:t>
            </w:r>
          </w:p>
        </w:tc>
        <w:tc>
          <w:tcPr>
            <w:tcW w:w="1984" w:type="dxa"/>
          </w:tcPr>
          <w:p>
            <w:pPr>
              <w:pStyle w:val="0"/>
            </w:pPr>
            <w:r>
              <w:rPr>
                <w:sz w:val="20"/>
              </w:rPr>
              <w:t xml:space="preserve">Налог на прибыль организаций</w:t>
            </w:r>
          </w:p>
        </w:tc>
        <w:tc>
          <w:tcPr>
            <w:tcW w:w="4762" w:type="dxa"/>
          </w:tcPr>
          <w:p>
            <w:pPr>
              <w:pStyle w:val="0"/>
            </w:pPr>
            <w:r>
              <w:rPr>
                <w:sz w:val="20"/>
              </w:rPr>
              <w:t xml:space="preserve">- организации, реализующие инвестиционные проекты;</w:t>
            </w:r>
          </w:p>
          <w:p>
            <w:pPr>
              <w:pStyle w:val="0"/>
            </w:pPr>
            <w:r>
              <w:rPr>
                <w:sz w:val="20"/>
              </w:rPr>
              <w:t xml:space="preserve">- резиденты территорий опережающего социально-экономического развития;</w:t>
            </w:r>
          </w:p>
          <w:p>
            <w:pPr>
              <w:pStyle w:val="0"/>
            </w:pPr>
            <w:r>
              <w:rPr>
                <w:sz w:val="20"/>
              </w:rPr>
              <w:t xml:space="preserve">- организации - резиденты особых экономических зон промышленно-производственного типа;</w:t>
            </w:r>
          </w:p>
          <w:p>
            <w:pPr>
              <w:pStyle w:val="0"/>
            </w:pPr>
            <w:r>
              <w:rPr>
                <w:sz w:val="20"/>
              </w:rPr>
              <w:t xml:space="preserve">- участники специальных инвестиционных контрактов;</w:t>
            </w:r>
          </w:p>
          <w:p>
            <w:pPr>
              <w:pStyle w:val="0"/>
            </w:pPr>
            <w:r>
              <w:rPr>
                <w:sz w:val="20"/>
              </w:rPr>
              <w:t xml:space="preserve">- участники региональных инвестиционных проектов</w:t>
            </w:r>
          </w:p>
        </w:tc>
      </w:tr>
      <w:tr>
        <w:tc>
          <w:tcPr>
            <w:vMerge w:val="continue"/>
          </w:tcPr>
          <w:p/>
        </w:tc>
        <w:tc>
          <w:tcPr>
            <w:vMerge w:val="continue"/>
          </w:tcPr>
          <w:p/>
        </w:tc>
        <w:tc>
          <w:tcPr>
            <w:tcW w:w="1984" w:type="dxa"/>
          </w:tcPr>
          <w:p>
            <w:pPr>
              <w:pStyle w:val="0"/>
            </w:pPr>
            <w:r>
              <w:rPr>
                <w:sz w:val="20"/>
              </w:rPr>
              <w:t xml:space="preserve">Налог на имущество организаций</w:t>
            </w:r>
          </w:p>
        </w:tc>
        <w:tc>
          <w:tcPr>
            <w:tcW w:w="4762" w:type="dxa"/>
          </w:tcPr>
          <w:p>
            <w:pPr>
              <w:pStyle w:val="0"/>
            </w:pPr>
            <w:r>
              <w:rPr>
                <w:sz w:val="20"/>
              </w:rPr>
              <w:t xml:space="preserve">- организации, реализующие инвестиционные проекты;</w:t>
            </w:r>
          </w:p>
          <w:p>
            <w:pPr>
              <w:pStyle w:val="0"/>
            </w:pPr>
            <w:r>
              <w:rPr>
                <w:sz w:val="20"/>
              </w:rPr>
              <w:t xml:space="preserve">- резиденты территорий опережающего социально-экономического развития</w:t>
            </w:r>
          </w:p>
        </w:tc>
      </w:tr>
      <w:tr>
        <w:tc>
          <w:tcPr>
            <w:tcW w:w="567" w:type="dxa"/>
            <w:vMerge w:val="restart"/>
          </w:tcPr>
          <w:p>
            <w:pPr>
              <w:pStyle w:val="0"/>
              <w:jc w:val="center"/>
            </w:pPr>
            <w:r>
              <w:rPr>
                <w:sz w:val="20"/>
              </w:rPr>
              <w:t xml:space="preserve">2.</w:t>
            </w:r>
          </w:p>
        </w:tc>
        <w:tc>
          <w:tcPr>
            <w:tcW w:w="1757" w:type="dxa"/>
            <w:vMerge w:val="restart"/>
          </w:tcPr>
          <w:p>
            <w:pPr>
              <w:pStyle w:val="0"/>
            </w:pPr>
            <w:r>
              <w:rPr>
                <w:sz w:val="20"/>
              </w:rPr>
              <w:t xml:space="preserve">Департамент предпринимательства Владимирской области</w:t>
            </w:r>
          </w:p>
        </w:tc>
        <w:tc>
          <w:tcPr>
            <w:tcW w:w="1984" w:type="dxa"/>
          </w:tcPr>
          <w:p>
            <w:pPr>
              <w:pStyle w:val="0"/>
            </w:pPr>
            <w:r>
              <w:rPr>
                <w:sz w:val="20"/>
              </w:rPr>
              <w:t xml:space="preserve">Налог, взимаемый в связи с применением упрощенной системы налогообложения</w:t>
            </w:r>
          </w:p>
        </w:tc>
        <w:tc>
          <w:tcPr>
            <w:tcW w:w="4762" w:type="dxa"/>
          </w:tcPr>
          <w:p>
            <w:pPr>
              <w:pStyle w:val="0"/>
            </w:pPr>
            <w:r>
              <w:rPr>
                <w:sz w:val="20"/>
              </w:rPr>
              <w:t xml:space="preserve">- индивидуальные предприниматели, впервые зарегистрированные и осуществляющие предпринимательскую деятельность в производственной, социальной и (или) научной сферах, а также в сфере бытовых услуг населению;</w:t>
            </w:r>
          </w:p>
          <w:p>
            <w:pPr>
              <w:pStyle w:val="0"/>
            </w:pPr>
            <w:r>
              <w:rPr>
                <w:sz w:val="20"/>
              </w:rPr>
              <w:t xml:space="preserve">- организации и индивидуальные предприниматели, которые применяют дифференцированные налоговые ставки по упрощенной системе налогообложения</w:t>
            </w:r>
          </w:p>
        </w:tc>
      </w:tr>
      <w:tr>
        <w:tc>
          <w:tcPr>
            <w:vMerge w:val="continue"/>
          </w:tcPr>
          <w:p/>
        </w:tc>
        <w:tc>
          <w:tcPr>
            <w:vMerge w:val="continue"/>
          </w:tcPr>
          <w:p/>
        </w:tc>
        <w:tc>
          <w:tcPr>
            <w:tcW w:w="1984" w:type="dxa"/>
          </w:tcPr>
          <w:p>
            <w:pPr>
              <w:pStyle w:val="0"/>
            </w:pPr>
            <w:r>
              <w:rPr>
                <w:sz w:val="20"/>
              </w:rPr>
              <w:t xml:space="preserve">Налог, взимаемый в связи с применением патентной системы налогообложения</w:t>
            </w:r>
          </w:p>
        </w:tc>
        <w:tc>
          <w:tcPr>
            <w:tcW w:w="4762" w:type="dxa"/>
          </w:tcPr>
          <w:p>
            <w:pPr>
              <w:pStyle w:val="0"/>
            </w:pPr>
            <w:r>
              <w:rPr>
                <w:sz w:val="20"/>
              </w:rPr>
              <w:t xml:space="preserve">- индивидуальные предприниматели, впервые зарегистрированные и осуществляющие предпринимательскую деятельность в производственной, социальной и (или) научной сферах, а также в сфере бытовых услуг населению</w:t>
            </w:r>
          </w:p>
        </w:tc>
      </w:tr>
      <w:tr>
        <w:tc>
          <w:tcPr>
            <w:vMerge w:val="continue"/>
          </w:tcPr>
          <w:p/>
        </w:tc>
        <w:tc>
          <w:tcPr>
            <w:vMerge w:val="continue"/>
          </w:tcPr>
          <w:p/>
        </w:tc>
        <w:tc>
          <w:tcPr>
            <w:tcW w:w="1984" w:type="dxa"/>
          </w:tcPr>
          <w:p>
            <w:pPr>
              <w:pStyle w:val="0"/>
            </w:pPr>
            <w:r>
              <w:rPr>
                <w:sz w:val="20"/>
              </w:rPr>
              <w:t xml:space="preserve">Налог на имущество организаций</w:t>
            </w:r>
          </w:p>
        </w:tc>
        <w:tc>
          <w:tcPr>
            <w:tcW w:w="4762" w:type="dxa"/>
          </w:tcPr>
          <w:p>
            <w:pPr>
              <w:pStyle w:val="0"/>
            </w:pPr>
            <w:r>
              <w:rPr>
                <w:sz w:val="20"/>
              </w:rPr>
              <w:t xml:space="preserve">- организации в отношении объектов недвижимости, налоговая база по которым определяется как кадастровая стоимость имущества</w:t>
            </w:r>
          </w:p>
        </w:tc>
      </w:tr>
      <w:tr>
        <w:tc>
          <w:tcPr>
            <w:tcW w:w="567" w:type="dxa"/>
            <w:vMerge w:val="restart"/>
          </w:tcPr>
          <w:p>
            <w:pPr>
              <w:pStyle w:val="0"/>
              <w:jc w:val="center"/>
            </w:pPr>
            <w:r>
              <w:rPr>
                <w:sz w:val="20"/>
              </w:rPr>
              <w:t xml:space="preserve">3.</w:t>
            </w:r>
          </w:p>
        </w:tc>
        <w:tc>
          <w:tcPr>
            <w:tcW w:w="1757" w:type="dxa"/>
            <w:vMerge w:val="restart"/>
          </w:tcPr>
          <w:p>
            <w:pPr>
              <w:pStyle w:val="0"/>
            </w:pPr>
            <w:r>
              <w:rPr>
                <w:sz w:val="20"/>
              </w:rPr>
              <w:t xml:space="preserve">Департамент транспорта и дорожного хозяйства Владимирской области</w:t>
            </w:r>
          </w:p>
        </w:tc>
        <w:tc>
          <w:tcPr>
            <w:tcW w:w="1984" w:type="dxa"/>
          </w:tcPr>
          <w:p>
            <w:pPr>
              <w:pStyle w:val="0"/>
            </w:pPr>
            <w:r>
              <w:rPr>
                <w:sz w:val="20"/>
              </w:rPr>
              <w:t xml:space="preserve">Налог на имущество организаций</w:t>
            </w:r>
          </w:p>
        </w:tc>
        <w:tc>
          <w:tcPr>
            <w:tcW w:w="4762" w:type="dxa"/>
          </w:tcPr>
          <w:p>
            <w:pPr>
              <w:pStyle w:val="0"/>
            </w:pPr>
            <w:r>
              <w:rPr>
                <w:sz w:val="20"/>
              </w:rPr>
              <w:t xml:space="preserve">- организации в отношении автомобильных дорог общего пользования регионального или межмуниципального и местного значения;</w:t>
            </w:r>
          </w:p>
          <w:p>
            <w:pPr>
              <w:pStyle w:val="0"/>
            </w:pPr>
            <w:r>
              <w:rPr>
                <w:sz w:val="20"/>
              </w:rPr>
              <w:t xml:space="preserve">- организации в отношении железнодорожных путей общего пользования и сооружений, являющихся их неотъемлемой технологической частью</w:t>
            </w:r>
          </w:p>
        </w:tc>
      </w:tr>
      <w:tr>
        <w:tc>
          <w:tcPr>
            <w:vMerge w:val="continue"/>
          </w:tcPr>
          <w:p/>
        </w:tc>
        <w:tc>
          <w:tcPr>
            <w:vMerge w:val="continue"/>
          </w:tcPr>
          <w:p/>
        </w:tc>
        <w:tc>
          <w:tcPr>
            <w:tcW w:w="1984" w:type="dxa"/>
          </w:tcPr>
          <w:p>
            <w:pPr>
              <w:pStyle w:val="0"/>
            </w:pPr>
            <w:r>
              <w:rPr>
                <w:sz w:val="20"/>
              </w:rPr>
              <w:t xml:space="preserve">Транспортный налог</w:t>
            </w:r>
          </w:p>
        </w:tc>
        <w:tc>
          <w:tcPr>
            <w:tcW w:w="4762" w:type="dxa"/>
          </w:tcPr>
          <w:p>
            <w:pPr>
              <w:pStyle w:val="0"/>
            </w:pPr>
            <w:r>
              <w:rPr>
                <w:sz w:val="20"/>
              </w:rPr>
              <w:t xml:space="preserve">- налогоплательщики в отношении транспортных средств, оборудованных для использования природного газа в качестве моторного топлива;</w:t>
            </w:r>
          </w:p>
          <w:p>
            <w:pPr>
              <w:pStyle w:val="0"/>
            </w:pPr>
            <w:r>
              <w:rPr>
                <w:sz w:val="20"/>
              </w:rPr>
              <w:t xml:space="preserve">- сельскохозяйственные товаропроизводители (в отношении грузовых автомобилей, автобусов);</w:t>
            </w:r>
          </w:p>
          <w:p>
            <w:pPr>
              <w:pStyle w:val="0"/>
            </w:pPr>
            <w:r>
              <w:rPr>
                <w:sz w:val="20"/>
              </w:rPr>
              <w:t xml:space="preserve">- пенсионеры и инвалиды всех категорий, а также мужчины, достигшие возраста 60 лет, и женщины, достигшие возраста 55 лет, в отношении легковых автомобилей с мощностью двигателя не более 150 л. с. (110,33 кВт), мотоциклов и мотороллеров с мощностью двигателя не более 50 л. с. (36,78 кВт);</w:t>
            </w:r>
          </w:p>
          <w:p>
            <w:pPr>
              <w:pStyle w:val="0"/>
            </w:pPr>
            <w:r>
              <w:rPr>
                <w:sz w:val="20"/>
              </w:rPr>
              <w:t xml:space="preserve">- пенсионеры и инвалиды всех категорий, а также мужчины, достигшие возраста 60 лет, и женщины, достигшие возраста 55 лет, в отношении грузовых автомобилей с мощностью двигателя не более 75 л. с. (55,16 кВт), зарегистрированных до 01.01.2003;</w:t>
            </w:r>
          </w:p>
          <w:p>
            <w:pPr>
              <w:pStyle w:val="0"/>
            </w:pPr>
            <w:r>
              <w:rPr>
                <w:sz w:val="20"/>
              </w:rPr>
              <w:t xml:space="preserve">- один из родителей (усыновитель, опекун, попечитель) в семье, относящейся к многодетной в соответствии с </w:t>
            </w:r>
            <w:hyperlink w:history="0" r:id="rId28" w:tooltip="Закон Владимирской области от 02.10.2007 N 120-ОЗ (ред. от 26.12.2022) &quot;О социальной поддержке и социальном обслуживании отдельных категорий граждан во Владимирской области&quot; (принят постановлением ЗС Владимирской области от 26.09.2007 N 524) (с изм. и доп., вступившими в силу с 01.01.2023) {КонсультантПлюс}">
              <w:r>
                <w:rPr>
                  <w:sz w:val="20"/>
                  <w:color w:val="0000ff"/>
                </w:rPr>
                <w:t xml:space="preserve">Законом</w:t>
              </w:r>
            </w:hyperlink>
            <w:r>
              <w:rPr>
                <w:sz w:val="20"/>
              </w:rPr>
              <w:t xml:space="preserve"> Владимирской области от 02 октября 2007 года N 120-ОЗ "О социальной поддержке и социальном обслуживании отдельных категорий граждан во Владимирской области" в отношении легкового автомобиля с мощностью двигателя не более 250 л. с. (183,9 кВт) или автобуса с мощностью двигателя не более 200 л. с. (147,1 кВт);</w:t>
            </w:r>
          </w:p>
          <w:p>
            <w:pPr>
              <w:pStyle w:val="0"/>
            </w:pPr>
            <w:r>
              <w:rPr>
                <w:sz w:val="20"/>
              </w:rPr>
              <w:t xml:space="preserve">- Герои Советского Союза, Герои Российской Федерации, граждане, награжденные орденом Славы трех степеней, на одно транспортное средство с мощностью двигателя не более 150 л. с. (110,33 кВт);</w:t>
            </w:r>
          </w:p>
          <w:p>
            <w:pPr>
              <w:pStyle w:val="0"/>
            </w:pPr>
            <w:r>
              <w:rPr>
                <w:sz w:val="20"/>
              </w:rPr>
              <w:t xml:space="preserve">- граждане, подвергшиеся воздействию радиации вследствие катастрофы на Чернобыльской АЭС, и приравненные к ним граждане из подразделений особого риска на одно транспортное средство с мощностью двигателя не более 150 л. с. (110,33 кВт);</w:t>
            </w:r>
          </w:p>
          <w:p>
            <w:pPr>
              <w:pStyle w:val="0"/>
            </w:pPr>
            <w:r>
              <w:rPr>
                <w:sz w:val="20"/>
              </w:rPr>
              <w:t xml:space="preserve">- участники Великой Отечественной войны на одно транспортное средство с мощностью двигателя не более 150 л. с. (110,33 кВт);</w:t>
            </w:r>
          </w:p>
          <w:p>
            <w:pPr>
              <w:pStyle w:val="0"/>
            </w:pPr>
            <w:r>
              <w:rPr>
                <w:sz w:val="20"/>
              </w:rPr>
              <w:t xml:space="preserve">- инвалиды Великой Отечественной войны и инвалиды боевых действий на одно транспортное средство с мощностью двигателя не более 150 л. с. (110,33 кВт);</w:t>
            </w:r>
          </w:p>
          <w:p>
            <w:pPr>
              <w:pStyle w:val="0"/>
            </w:pPr>
            <w:r>
              <w:rPr>
                <w:sz w:val="20"/>
              </w:rPr>
              <w:t xml:space="preserve">- военнослужащие и лица рядового и начальствующего состава органов внутренних дел, войск национальной гвардии, Государственной противопожарной службы, учреждений и органов уголовно-исполнительной системы, органов принудительного исполнения Российской Федерации, ставшие инвалидами вследствие ранения, контузии или увечья, полученных при исполнении обязанностей военной службы (служебных обязанностей), на одно транспортное средство с мощностью двигателя не более 150 л. с. (110,33 кВт);</w:t>
            </w:r>
          </w:p>
          <w:p>
            <w:pPr>
              <w:pStyle w:val="0"/>
            </w:pPr>
            <w:r>
              <w:rPr>
                <w:sz w:val="20"/>
              </w:rPr>
              <w:t xml:space="preserve">- бывшие несовершеннолетние узники концлагерей, гетто, других мест принудительного содержания, созданных фашистами и их союзниками в период Второй мировой войны, на одно транспортное средство с мощностью двигателя не более 150 л. с. (110,33 кВт);</w:t>
            </w:r>
          </w:p>
          <w:p>
            <w:pPr>
              <w:pStyle w:val="0"/>
            </w:pPr>
            <w:r>
              <w:rPr>
                <w:sz w:val="20"/>
              </w:rPr>
              <w:t xml:space="preserve">- один из родителей (усыновителей, опекунов, попечителей) ребенка-инвалида, проживающий совместно с ребенком-инвалидом, на один легковой автомобиль с мощностью двигателя не более 150 л. с. (110,33 кВт);</w:t>
            </w:r>
          </w:p>
          <w:p>
            <w:pPr>
              <w:pStyle w:val="0"/>
            </w:pPr>
            <w:r>
              <w:rPr>
                <w:sz w:val="20"/>
              </w:rPr>
              <w:t xml:space="preserve">- ветераны боевых действий на один легковой автомобиль с мощностью двигателя не более 110 л. с. (80,91 кВт);</w:t>
            </w:r>
          </w:p>
          <w:p>
            <w:pPr>
              <w:pStyle w:val="0"/>
            </w:pPr>
            <w:r>
              <w:rPr>
                <w:sz w:val="20"/>
              </w:rPr>
              <w:t xml:space="preserve">- организации, являющиеся резидентами особых экономических зон промышленно-производственного типа, созданных на территории Владимирской области</w:t>
            </w:r>
          </w:p>
        </w:tc>
      </w:tr>
      <w:tr>
        <w:tc>
          <w:tcPr>
            <w:tcW w:w="567" w:type="dxa"/>
          </w:tcPr>
          <w:p>
            <w:pPr>
              <w:pStyle w:val="0"/>
              <w:jc w:val="center"/>
            </w:pPr>
            <w:r>
              <w:rPr>
                <w:sz w:val="20"/>
              </w:rPr>
              <w:t xml:space="preserve">4.</w:t>
            </w:r>
          </w:p>
        </w:tc>
        <w:tc>
          <w:tcPr>
            <w:tcW w:w="1757" w:type="dxa"/>
          </w:tcPr>
          <w:p>
            <w:pPr>
              <w:pStyle w:val="0"/>
            </w:pPr>
            <w:r>
              <w:rPr>
                <w:sz w:val="20"/>
              </w:rPr>
              <w:t xml:space="preserve">Департамент цифрового развития Владимирской области</w:t>
            </w:r>
          </w:p>
        </w:tc>
        <w:tc>
          <w:tcPr>
            <w:tcW w:w="1984" w:type="dxa"/>
          </w:tcPr>
          <w:p>
            <w:pPr>
              <w:pStyle w:val="0"/>
            </w:pPr>
            <w:r>
              <w:rPr>
                <w:sz w:val="20"/>
              </w:rPr>
              <w:t xml:space="preserve">Налог на имущество организаций</w:t>
            </w:r>
          </w:p>
        </w:tc>
        <w:tc>
          <w:tcPr>
            <w:tcW w:w="4762" w:type="dxa"/>
          </w:tcPr>
          <w:p>
            <w:pPr>
              <w:pStyle w:val="0"/>
            </w:pPr>
            <w:r>
              <w:rPr>
                <w:sz w:val="20"/>
              </w:rPr>
              <w:t xml:space="preserve">- отделения почтовой связи, находящиеся в сельской местности</w:t>
            </w:r>
          </w:p>
        </w:tc>
      </w:tr>
    </w:tbl>
    <w:p>
      <w:pPr>
        <w:pStyle w:val="0"/>
        <w:jc w:val="both"/>
      </w:pPr>
      <w:r>
        <w:rPr>
          <w:sz w:val="20"/>
        </w:rPr>
      </w:r>
    </w:p>
    <w:p>
      <w:pPr>
        <w:pStyle w:val="0"/>
        <w:ind w:firstLine="540"/>
        <w:jc w:val="both"/>
      </w:pPr>
      <w:r>
        <w:rPr>
          <w:sz w:val="20"/>
        </w:rPr>
        <w:t xml:space="preserve">По итогам проведенной в 2021 году оценки налоговых расходов за 2020 год признаны неэффективными налоговые расходы по налогу на имущество организаций в отношении железнодорожных путей общего пользования и сооружений, являющихся их неотъемлемой технологической частью. Бюджетная эффективность налогового расхода составила "-302 млн. рублей". В соответствии с </w:t>
      </w:r>
      <w:hyperlink w:history="0" r:id="rId29" w:tooltip="Закон Владимирской области от 12.11.2003 N 110-ОЗ (ред. от 08.11.2022) &quot;О налоге на имущество организаций&quot; (принят постановлением ЗС Владимирской области от 29.10.2003 N 568) (с изм. и доп., вступившими в силу с 01.01.2023) {КонсультантПлюс}">
        <w:r>
          <w:rPr>
            <w:sz w:val="20"/>
            <w:color w:val="0000ff"/>
          </w:rPr>
          <w:t xml:space="preserve">Законом</w:t>
        </w:r>
      </w:hyperlink>
      <w:r>
        <w:rPr>
          <w:sz w:val="20"/>
        </w:rPr>
        <w:t xml:space="preserve"> области от 12 ноября 2003 г. N 110-ОЗ "О налоге на имущество организаций" (в редакции от 9 марта 2017 г.) указанная льгота действовала до 2020 года включительно. Остальные налоговые расходы являются эффективными.</w:t>
      </w:r>
    </w:p>
    <w:p>
      <w:pPr>
        <w:pStyle w:val="0"/>
        <w:spacing w:before="200" w:line-rule="auto"/>
        <w:ind w:firstLine="540"/>
        <w:jc w:val="both"/>
      </w:pPr>
      <w:r>
        <w:rPr>
          <w:sz w:val="20"/>
        </w:rPr>
        <w:t xml:space="preserve">При формировании основных направлений налоговой политики области учтены изменения в федеральное налоговое законодательство:</w:t>
      </w:r>
    </w:p>
    <w:p>
      <w:pPr>
        <w:pStyle w:val="0"/>
        <w:spacing w:before="200" w:line-rule="auto"/>
        <w:ind w:firstLine="540"/>
        <w:jc w:val="both"/>
      </w:pPr>
      <w:r>
        <w:rPr>
          <w:sz w:val="20"/>
        </w:rPr>
        <w:t xml:space="preserve">- отмена с 1 января 2023 года института консолидированной группы налогоплательщиков (Федеральный </w:t>
      </w:r>
      <w:hyperlink w:history="0" r:id="rId30" w:tooltip="Федеральный закон от 03.08.2018 N 302-ФЗ (ред. от 02.07.2021) &quot;О внесении изменений в части первую и вторую Налогового кодекса Российской Федерации&quot; {КонсультантПлюс}">
        <w:r>
          <w:rPr>
            <w:sz w:val="20"/>
            <w:color w:val="0000ff"/>
          </w:rPr>
          <w:t xml:space="preserve">закон</w:t>
        </w:r>
      </w:hyperlink>
      <w:r>
        <w:rPr>
          <w:sz w:val="20"/>
        </w:rPr>
        <w:t xml:space="preserve"> от 3 августа 2018 г. N 302-ФЗ "О внесении изменений в части первую и вторую Налогового кодекса Российской Федерации");</w:t>
      </w:r>
    </w:p>
    <w:p>
      <w:pPr>
        <w:pStyle w:val="0"/>
        <w:spacing w:before="200" w:line-rule="auto"/>
        <w:ind w:firstLine="540"/>
        <w:jc w:val="both"/>
      </w:pPr>
      <w:r>
        <w:rPr>
          <w:sz w:val="20"/>
        </w:rPr>
        <w:t xml:space="preserve">- продление до 2024 года порядка зачисления налога на прибыль организаций в федеральный бюджет по ставке 3%, в бюджеты субъектов Российской Федерации - по ставке 17% (Федеральный </w:t>
      </w:r>
      <w:hyperlink w:history="0" r:id="rId31" w:tooltip="Федеральный закон от 03.08.2018 N 301-ФЗ (ред. от 27.11.2018) &quot;О внесении изменений в часть вторую Налогового кодекса Российской Федерации&quot; {КонсультантПлюс}">
        <w:r>
          <w:rPr>
            <w:sz w:val="20"/>
            <w:color w:val="0000ff"/>
          </w:rPr>
          <w:t xml:space="preserve">закон</w:t>
        </w:r>
      </w:hyperlink>
      <w:r>
        <w:rPr>
          <w:sz w:val="20"/>
        </w:rPr>
        <w:t xml:space="preserve"> от 3 августа 2018 г. N 301-ФЗ "О внесении изменений в часть вторую Налогового кодекса Российской Федерации");</w:t>
      </w:r>
    </w:p>
    <w:p>
      <w:pPr>
        <w:pStyle w:val="0"/>
        <w:spacing w:before="200" w:line-rule="auto"/>
        <w:ind w:firstLine="540"/>
        <w:jc w:val="both"/>
      </w:pPr>
      <w:r>
        <w:rPr>
          <w:sz w:val="20"/>
        </w:rPr>
        <w:t xml:space="preserve">- отмена с 1 января 2023 года пониженных ставок по налогу на прибыль организаций (Федеральный </w:t>
      </w:r>
      <w:hyperlink w:history="0" r:id="rId32" w:tooltip="Федеральный закон от 03.08.2018 N 302-ФЗ (ред. от 02.07.2021) &quot;О внесении изменений в части первую и вторую Налогового кодекса Российской Федерации&quot; {КонсультантПлюс}">
        <w:r>
          <w:rPr>
            <w:sz w:val="20"/>
            <w:color w:val="0000ff"/>
          </w:rPr>
          <w:t xml:space="preserve">закон</w:t>
        </w:r>
      </w:hyperlink>
      <w:r>
        <w:rPr>
          <w:sz w:val="20"/>
        </w:rPr>
        <w:t xml:space="preserve"> от 3 августа 2018 г. N 302-ФЗ "О внесении изменений в части первую и вторую Налогового кодекса Российской Федерации");</w:t>
      </w:r>
    </w:p>
    <w:p>
      <w:pPr>
        <w:pStyle w:val="0"/>
        <w:spacing w:before="200" w:line-rule="auto"/>
        <w:ind w:firstLine="540"/>
        <w:jc w:val="both"/>
      </w:pPr>
      <w:r>
        <w:rPr>
          <w:sz w:val="20"/>
        </w:rPr>
        <w:t xml:space="preserve">- введение с 1 января 2022 года социального налогового вычета по налогу на доходы физических лиц по физкультурно-оздоровительным услугам, предоставляемым физическим лицам, физкультурно-спортивными организациями и индивидуальными предпринимателями, осуществляющими деятельность в области физической культуры и спорта в качестве основного вида деятельности (Федеральный </w:t>
      </w:r>
      <w:hyperlink w:history="0" r:id="rId33" w:tooltip="Федеральный закон от 05.04.2021 N 88-ФЗ (ред. от 02.07.2021) &quot;О внесении изменений в статью 219 части второй Налогового кодекса Российской Федерации в части предоставления социального налогового вычета в сумме, уплаченной налогоплательщиком за оказанные ему физкультурно-оздоровительные услуги&quot; {КонсультантПлюс}">
        <w:r>
          <w:rPr>
            <w:sz w:val="20"/>
            <w:color w:val="0000ff"/>
          </w:rPr>
          <w:t xml:space="preserve">закон</w:t>
        </w:r>
      </w:hyperlink>
      <w:r>
        <w:rPr>
          <w:sz w:val="20"/>
        </w:rPr>
        <w:t xml:space="preserve"> от 5 апреля 2021 г. N 88-ФЗ "О внесении изменений в статью 219 части второй Налогового кодекса Российской Федерации в части предоставления социального налогового вычета в сумме, уплаченной налогоплательщиком за оказанные ему физкультурно-оздоровительные услуги").</w:t>
      </w:r>
    </w:p>
    <w:p>
      <w:pPr>
        <w:pStyle w:val="0"/>
        <w:jc w:val="both"/>
      </w:pPr>
      <w:r>
        <w:rPr>
          <w:sz w:val="20"/>
        </w:rPr>
      </w:r>
    </w:p>
    <w:p>
      <w:pPr>
        <w:pStyle w:val="2"/>
        <w:outlineLvl w:val="1"/>
        <w:jc w:val="center"/>
      </w:pPr>
      <w:r>
        <w:rPr>
          <w:sz w:val="20"/>
        </w:rPr>
        <w:t xml:space="preserve">IV. Основные параметры налоговых и неналоговых доходов</w:t>
      </w:r>
    </w:p>
    <w:p>
      <w:pPr>
        <w:pStyle w:val="2"/>
        <w:jc w:val="center"/>
      </w:pPr>
      <w:r>
        <w:rPr>
          <w:sz w:val="20"/>
        </w:rPr>
        <w:t xml:space="preserve">консолидированного бюджета области и областного бюджета</w:t>
      </w:r>
    </w:p>
    <w:p>
      <w:pPr>
        <w:pStyle w:val="2"/>
        <w:jc w:val="center"/>
      </w:pPr>
      <w:r>
        <w:rPr>
          <w:sz w:val="20"/>
        </w:rPr>
        <w:t xml:space="preserve">на 2022 год и на плановый период 2023 и 2024 годов</w:t>
      </w:r>
    </w:p>
    <w:p>
      <w:pPr>
        <w:pStyle w:val="0"/>
        <w:jc w:val="both"/>
      </w:pPr>
      <w:r>
        <w:rPr>
          <w:sz w:val="20"/>
        </w:rPr>
      </w:r>
    </w:p>
    <w:p>
      <w:pPr>
        <w:pStyle w:val="0"/>
        <w:ind w:firstLine="540"/>
        <w:jc w:val="both"/>
      </w:pPr>
      <w:r>
        <w:rPr>
          <w:sz w:val="20"/>
        </w:rPr>
        <w:t xml:space="preserve">Основные направления налоговой политики Владимирской области определяют параметры налоговых и неналоговых доходов областного бюджета на 2022 - 2024 годы (таблица 4).</w:t>
      </w:r>
    </w:p>
    <w:p>
      <w:pPr>
        <w:pStyle w:val="0"/>
        <w:jc w:val="both"/>
      </w:pPr>
      <w:r>
        <w:rPr>
          <w:sz w:val="20"/>
        </w:rPr>
      </w:r>
    </w:p>
    <w:p>
      <w:pPr>
        <w:pStyle w:val="0"/>
        <w:jc w:val="right"/>
      </w:pPr>
      <w:r>
        <w:rPr>
          <w:sz w:val="20"/>
        </w:rPr>
        <w:t xml:space="preserve">Таблица 4</w:t>
      </w:r>
    </w:p>
    <w:p>
      <w:pPr>
        <w:pStyle w:val="0"/>
        <w:jc w:val="both"/>
      </w:pPr>
      <w:r>
        <w:rPr>
          <w:sz w:val="20"/>
        </w:rPr>
      </w:r>
    </w:p>
    <w:p>
      <w:pPr>
        <w:pStyle w:val="0"/>
        <w:jc w:val="center"/>
      </w:pPr>
      <w:r>
        <w:rPr>
          <w:sz w:val="20"/>
        </w:rPr>
        <w:t xml:space="preserve">Прогноз</w:t>
      </w:r>
    </w:p>
    <w:p>
      <w:pPr>
        <w:pStyle w:val="0"/>
        <w:jc w:val="center"/>
      </w:pPr>
      <w:r>
        <w:rPr>
          <w:sz w:val="20"/>
        </w:rPr>
        <w:t xml:space="preserve">поступления налоговых и неналоговых доходов</w:t>
      </w:r>
    </w:p>
    <w:p>
      <w:pPr>
        <w:pStyle w:val="0"/>
        <w:jc w:val="center"/>
      </w:pPr>
      <w:r>
        <w:rPr>
          <w:sz w:val="20"/>
        </w:rPr>
        <w:t xml:space="preserve">областного бюджета на 2022 - 2024 годы</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474"/>
        <w:gridCol w:w="1077"/>
        <w:gridCol w:w="1020"/>
        <w:gridCol w:w="1077"/>
        <w:gridCol w:w="1020"/>
        <w:gridCol w:w="1077"/>
        <w:gridCol w:w="1077"/>
        <w:gridCol w:w="1247"/>
      </w:tblGrid>
      <w:tr>
        <w:tc>
          <w:tcPr>
            <w:tcW w:w="1474" w:type="dxa"/>
          </w:tcPr>
          <w:p>
            <w:pPr>
              <w:pStyle w:val="0"/>
              <w:jc w:val="center"/>
            </w:pPr>
            <w:r>
              <w:rPr>
                <w:sz w:val="20"/>
              </w:rPr>
              <w:t xml:space="preserve">Показатели</w:t>
            </w:r>
          </w:p>
        </w:tc>
        <w:tc>
          <w:tcPr>
            <w:tcW w:w="1077" w:type="dxa"/>
          </w:tcPr>
          <w:p>
            <w:pPr>
              <w:pStyle w:val="0"/>
              <w:jc w:val="center"/>
            </w:pPr>
            <w:r>
              <w:rPr>
                <w:sz w:val="20"/>
              </w:rPr>
              <w:t xml:space="preserve">Утвержденный законом области план на 2022 год</w:t>
            </w:r>
          </w:p>
        </w:tc>
        <w:tc>
          <w:tcPr>
            <w:tcW w:w="1020" w:type="dxa"/>
          </w:tcPr>
          <w:p>
            <w:pPr>
              <w:pStyle w:val="0"/>
              <w:jc w:val="center"/>
            </w:pPr>
            <w:r>
              <w:rPr>
                <w:sz w:val="20"/>
              </w:rPr>
              <w:t xml:space="preserve">Уточненный прогноз на 2022 год</w:t>
            </w:r>
          </w:p>
        </w:tc>
        <w:tc>
          <w:tcPr>
            <w:tcW w:w="1077" w:type="dxa"/>
          </w:tcPr>
          <w:p>
            <w:pPr>
              <w:pStyle w:val="0"/>
              <w:jc w:val="center"/>
            </w:pPr>
            <w:r>
              <w:rPr>
                <w:sz w:val="20"/>
              </w:rPr>
              <w:t xml:space="preserve">Отклонение уточненного прогноза от утвержденного законом плана</w:t>
            </w:r>
          </w:p>
        </w:tc>
        <w:tc>
          <w:tcPr>
            <w:tcW w:w="1020" w:type="dxa"/>
          </w:tcPr>
          <w:p>
            <w:pPr>
              <w:pStyle w:val="0"/>
              <w:jc w:val="center"/>
            </w:pPr>
            <w:r>
              <w:rPr>
                <w:sz w:val="20"/>
              </w:rPr>
              <w:t xml:space="preserve">Утвержденный законом области план на 2023 год</w:t>
            </w:r>
          </w:p>
        </w:tc>
        <w:tc>
          <w:tcPr>
            <w:tcW w:w="1077" w:type="dxa"/>
          </w:tcPr>
          <w:p>
            <w:pPr>
              <w:pStyle w:val="0"/>
              <w:jc w:val="center"/>
            </w:pPr>
            <w:r>
              <w:rPr>
                <w:sz w:val="20"/>
              </w:rPr>
              <w:t xml:space="preserve">Уточненный прогноз на 2023 год</w:t>
            </w:r>
          </w:p>
        </w:tc>
        <w:tc>
          <w:tcPr>
            <w:tcW w:w="1077" w:type="dxa"/>
          </w:tcPr>
          <w:p>
            <w:pPr>
              <w:pStyle w:val="0"/>
              <w:jc w:val="center"/>
            </w:pPr>
            <w:r>
              <w:rPr>
                <w:sz w:val="20"/>
              </w:rPr>
              <w:t xml:space="preserve">Отклонение уточненного прогноза от утвержденного законом плана</w:t>
            </w:r>
          </w:p>
        </w:tc>
        <w:tc>
          <w:tcPr>
            <w:tcW w:w="1247" w:type="dxa"/>
          </w:tcPr>
          <w:p>
            <w:pPr>
              <w:pStyle w:val="0"/>
              <w:jc w:val="center"/>
            </w:pPr>
            <w:r>
              <w:rPr>
                <w:sz w:val="20"/>
              </w:rPr>
              <w:t xml:space="preserve">2024 год (прогноз)</w:t>
            </w:r>
          </w:p>
        </w:tc>
      </w:tr>
      <w:tr>
        <w:tc>
          <w:tcPr>
            <w:tcW w:w="1474" w:type="dxa"/>
          </w:tcPr>
          <w:p>
            <w:pPr>
              <w:pStyle w:val="0"/>
              <w:jc w:val="center"/>
            </w:pPr>
            <w:r>
              <w:rPr>
                <w:sz w:val="20"/>
              </w:rPr>
              <w:t xml:space="preserve">1</w:t>
            </w:r>
          </w:p>
        </w:tc>
        <w:tc>
          <w:tcPr>
            <w:tcW w:w="1077" w:type="dxa"/>
          </w:tcPr>
          <w:p>
            <w:pPr>
              <w:pStyle w:val="0"/>
              <w:jc w:val="center"/>
            </w:pPr>
            <w:r>
              <w:rPr>
                <w:sz w:val="20"/>
              </w:rPr>
              <w:t xml:space="preserve">2</w:t>
            </w:r>
          </w:p>
        </w:tc>
        <w:tc>
          <w:tcPr>
            <w:tcW w:w="1020" w:type="dxa"/>
          </w:tcPr>
          <w:p>
            <w:pPr>
              <w:pStyle w:val="0"/>
              <w:jc w:val="center"/>
            </w:pPr>
            <w:r>
              <w:rPr>
                <w:sz w:val="20"/>
              </w:rPr>
              <w:t xml:space="preserve">3</w:t>
            </w:r>
          </w:p>
        </w:tc>
        <w:tc>
          <w:tcPr>
            <w:tcW w:w="1077" w:type="dxa"/>
          </w:tcPr>
          <w:p>
            <w:pPr>
              <w:pStyle w:val="0"/>
              <w:jc w:val="center"/>
            </w:pPr>
            <w:r>
              <w:rPr>
                <w:sz w:val="20"/>
              </w:rPr>
              <w:t xml:space="preserve">4</w:t>
            </w:r>
          </w:p>
        </w:tc>
        <w:tc>
          <w:tcPr>
            <w:tcW w:w="1020" w:type="dxa"/>
          </w:tcPr>
          <w:p>
            <w:pPr>
              <w:pStyle w:val="0"/>
              <w:jc w:val="center"/>
            </w:pPr>
            <w:r>
              <w:rPr>
                <w:sz w:val="20"/>
              </w:rPr>
              <w:t xml:space="preserve">5</w:t>
            </w:r>
          </w:p>
        </w:tc>
        <w:tc>
          <w:tcPr>
            <w:tcW w:w="1077" w:type="dxa"/>
          </w:tcPr>
          <w:p>
            <w:pPr>
              <w:pStyle w:val="0"/>
              <w:jc w:val="center"/>
            </w:pPr>
            <w:r>
              <w:rPr>
                <w:sz w:val="20"/>
              </w:rPr>
              <w:t xml:space="preserve">6</w:t>
            </w:r>
          </w:p>
        </w:tc>
        <w:tc>
          <w:tcPr>
            <w:tcW w:w="1077" w:type="dxa"/>
          </w:tcPr>
          <w:p>
            <w:pPr>
              <w:pStyle w:val="0"/>
              <w:jc w:val="center"/>
            </w:pPr>
            <w:r>
              <w:rPr>
                <w:sz w:val="20"/>
              </w:rPr>
              <w:t xml:space="preserve">7</w:t>
            </w:r>
          </w:p>
        </w:tc>
        <w:tc>
          <w:tcPr>
            <w:tcW w:w="1247" w:type="dxa"/>
          </w:tcPr>
          <w:p>
            <w:pPr>
              <w:pStyle w:val="0"/>
              <w:jc w:val="center"/>
            </w:pPr>
            <w:r>
              <w:rPr>
                <w:sz w:val="20"/>
              </w:rPr>
              <w:t xml:space="preserve">8</w:t>
            </w:r>
          </w:p>
        </w:tc>
      </w:tr>
      <w:tr>
        <w:tc>
          <w:tcPr>
            <w:tcW w:w="1474" w:type="dxa"/>
          </w:tcPr>
          <w:p>
            <w:pPr>
              <w:pStyle w:val="0"/>
            </w:pPr>
            <w:r>
              <w:rPr>
                <w:sz w:val="20"/>
              </w:rPr>
              <w:t xml:space="preserve">Налоговые и неналоговые доходы, млн. руб.</w:t>
            </w:r>
          </w:p>
        </w:tc>
        <w:tc>
          <w:tcPr>
            <w:tcW w:w="1077" w:type="dxa"/>
          </w:tcPr>
          <w:p>
            <w:pPr>
              <w:pStyle w:val="0"/>
              <w:jc w:val="center"/>
            </w:pPr>
            <w:r>
              <w:rPr>
                <w:sz w:val="20"/>
              </w:rPr>
              <w:t xml:space="preserve">50388,4</w:t>
            </w:r>
          </w:p>
        </w:tc>
        <w:tc>
          <w:tcPr>
            <w:tcW w:w="1020" w:type="dxa"/>
          </w:tcPr>
          <w:p>
            <w:pPr>
              <w:pStyle w:val="0"/>
              <w:jc w:val="center"/>
            </w:pPr>
            <w:r>
              <w:rPr>
                <w:sz w:val="20"/>
              </w:rPr>
              <w:t xml:space="preserve">53775,8</w:t>
            </w:r>
          </w:p>
        </w:tc>
        <w:tc>
          <w:tcPr>
            <w:tcW w:w="1077" w:type="dxa"/>
          </w:tcPr>
          <w:p>
            <w:pPr>
              <w:pStyle w:val="0"/>
              <w:jc w:val="center"/>
            </w:pPr>
            <w:r>
              <w:rPr>
                <w:sz w:val="20"/>
              </w:rPr>
              <w:t xml:space="preserve">+3387,4</w:t>
            </w:r>
          </w:p>
        </w:tc>
        <w:tc>
          <w:tcPr>
            <w:tcW w:w="1020" w:type="dxa"/>
          </w:tcPr>
          <w:p>
            <w:pPr>
              <w:pStyle w:val="0"/>
              <w:jc w:val="center"/>
            </w:pPr>
            <w:r>
              <w:rPr>
                <w:sz w:val="20"/>
              </w:rPr>
              <w:t xml:space="preserve">52708,2</w:t>
            </w:r>
          </w:p>
        </w:tc>
        <w:tc>
          <w:tcPr>
            <w:tcW w:w="1077" w:type="dxa"/>
          </w:tcPr>
          <w:p>
            <w:pPr>
              <w:pStyle w:val="0"/>
              <w:jc w:val="center"/>
            </w:pPr>
            <w:r>
              <w:rPr>
                <w:sz w:val="20"/>
              </w:rPr>
              <w:t xml:space="preserve">56150,0</w:t>
            </w:r>
          </w:p>
        </w:tc>
        <w:tc>
          <w:tcPr>
            <w:tcW w:w="1077" w:type="dxa"/>
          </w:tcPr>
          <w:p>
            <w:pPr>
              <w:pStyle w:val="0"/>
              <w:jc w:val="center"/>
            </w:pPr>
            <w:r>
              <w:rPr>
                <w:sz w:val="20"/>
              </w:rPr>
              <w:t xml:space="preserve">+3441,8</w:t>
            </w:r>
          </w:p>
        </w:tc>
        <w:tc>
          <w:tcPr>
            <w:tcW w:w="1247" w:type="dxa"/>
          </w:tcPr>
          <w:p>
            <w:pPr>
              <w:pStyle w:val="0"/>
              <w:jc w:val="center"/>
            </w:pPr>
            <w:r>
              <w:rPr>
                <w:sz w:val="20"/>
              </w:rPr>
              <w:t xml:space="preserve">58593,5</w:t>
            </w:r>
          </w:p>
        </w:tc>
      </w:tr>
      <w:tr>
        <w:tc>
          <w:tcPr>
            <w:tcW w:w="1474" w:type="dxa"/>
          </w:tcPr>
          <w:p>
            <w:pPr>
              <w:pStyle w:val="0"/>
            </w:pPr>
            <w:r>
              <w:rPr>
                <w:sz w:val="20"/>
              </w:rPr>
              <w:t xml:space="preserve">в том числе: доходы дорожного фонда, млн. руб.</w:t>
            </w:r>
          </w:p>
        </w:tc>
        <w:tc>
          <w:tcPr>
            <w:tcW w:w="1077" w:type="dxa"/>
          </w:tcPr>
          <w:p>
            <w:pPr>
              <w:pStyle w:val="0"/>
              <w:jc w:val="center"/>
            </w:pPr>
            <w:r>
              <w:rPr>
                <w:sz w:val="20"/>
              </w:rPr>
              <w:t xml:space="preserve">6734,4</w:t>
            </w:r>
          </w:p>
        </w:tc>
        <w:tc>
          <w:tcPr>
            <w:tcW w:w="1020" w:type="dxa"/>
          </w:tcPr>
          <w:p>
            <w:pPr>
              <w:pStyle w:val="0"/>
              <w:jc w:val="center"/>
            </w:pPr>
            <w:r>
              <w:rPr>
                <w:sz w:val="20"/>
              </w:rPr>
              <w:t xml:space="preserve">6735,0</w:t>
            </w:r>
          </w:p>
        </w:tc>
        <w:tc>
          <w:tcPr>
            <w:tcW w:w="1077" w:type="dxa"/>
          </w:tcPr>
          <w:p>
            <w:pPr>
              <w:pStyle w:val="0"/>
              <w:jc w:val="center"/>
            </w:pPr>
            <w:r>
              <w:rPr>
                <w:sz w:val="20"/>
              </w:rPr>
              <w:t xml:space="preserve">+0,6</w:t>
            </w:r>
          </w:p>
        </w:tc>
        <w:tc>
          <w:tcPr>
            <w:tcW w:w="1020" w:type="dxa"/>
          </w:tcPr>
          <w:p>
            <w:pPr>
              <w:pStyle w:val="0"/>
              <w:jc w:val="center"/>
            </w:pPr>
            <w:r>
              <w:rPr>
                <w:sz w:val="20"/>
              </w:rPr>
              <w:t xml:space="preserve">7195,2</w:t>
            </w:r>
          </w:p>
        </w:tc>
        <w:tc>
          <w:tcPr>
            <w:tcW w:w="1077" w:type="dxa"/>
          </w:tcPr>
          <w:p>
            <w:pPr>
              <w:pStyle w:val="0"/>
              <w:jc w:val="center"/>
            </w:pPr>
            <w:r>
              <w:rPr>
                <w:sz w:val="20"/>
              </w:rPr>
              <w:t xml:space="preserve">7334,6</w:t>
            </w:r>
          </w:p>
        </w:tc>
        <w:tc>
          <w:tcPr>
            <w:tcW w:w="1077" w:type="dxa"/>
          </w:tcPr>
          <w:p>
            <w:pPr>
              <w:pStyle w:val="0"/>
              <w:jc w:val="center"/>
            </w:pPr>
            <w:r>
              <w:rPr>
                <w:sz w:val="20"/>
              </w:rPr>
              <w:t xml:space="preserve">+139,4</w:t>
            </w:r>
          </w:p>
        </w:tc>
        <w:tc>
          <w:tcPr>
            <w:tcW w:w="1247" w:type="dxa"/>
          </w:tcPr>
          <w:p>
            <w:pPr>
              <w:pStyle w:val="0"/>
              <w:jc w:val="center"/>
            </w:pPr>
            <w:r>
              <w:rPr>
                <w:sz w:val="20"/>
              </w:rPr>
              <w:t xml:space="preserve">7594,6</w:t>
            </w:r>
          </w:p>
        </w:tc>
      </w:tr>
    </w:tbl>
    <w:p>
      <w:pPr>
        <w:pStyle w:val="0"/>
        <w:jc w:val="both"/>
      </w:pPr>
      <w:r>
        <w:rPr>
          <w:sz w:val="20"/>
        </w:rPr>
      </w:r>
    </w:p>
    <w:p>
      <w:pPr>
        <w:pStyle w:val="0"/>
        <w:ind w:firstLine="540"/>
        <w:jc w:val="both"/>
      </w:pPr>
      <w:r>
        <w:rPr>
          <w:sz w:val="20"/>
        </w:rPr>
        <w:t xml:space="preserve">Налоговые и неналоговые доходы областного бюджета на 2022 - 2024 годы сформированы главными администраторами доходов в соответствии с общими </w:t>
      </w:r>
      <w:hyperlink w:history="0" r:id="rId34" w:tooltip="Постановление Правительства РФ от 23.06.2016 N 574 (ред. от 22.09.2022) &quot;Об общих требованиях к методике прогнозирования поступлений доходов в бюджеты бюджетной системы Российской Федерации&quot; ------------ Недействующая редакция {КонсультантПлюс}">
        <w:r>
          <w:rPr>
            <w:sz w:val="20"/>
            <w:color w:val="0000ff"/>
          </w:rPr>
          <w:t xml:space="preserve">требованиями</w:t>
        </w:r>
      </w:hyperlink>
      <w:r>
        <w:rPr>
          <w:sz w:val="20"/>
        </w:rPr>
        <w:t xml:space="preserve"> к методике прогнозирования поступлений доходов, утвержденными постановлением Правительства Российской Федерации от 23 июня 2016 г. N 574 "Об общих требованиях к методике прогнозирования поступлений доходов в бюджеты бюджетной системы Российской Федерации".</w:t>
      </w:r>
    </w:p>
    <w:p>
      <w:pPr>
        <w:pStyle w:val="0"/>
        <w:spacing w:before="200" w:line-rule="auto"/>
        <w:ind w:firstLine="540"/>
        <w:jc w:val="both"/>
      </w:pPr>
      <w:r>
        <w:rPr>
          <w:sz w:val="20"/>
        </w:rPr>
        <w:t xml:space="preserve">Поступления налоговых и неналоговых доходов в 2022 году увеличатся по сравнению с параметрами, утвержденными </w:t>
      </w:r>
      <w:hyperlink w:history="0" r:id="rId35" w:tooltip="Закон Владимирской области от 22.12.2020 N 130-ОЗ (ред. от 15.10.2021) &quot;Об областном бюджете на 2021 год и на плановый период 2022 и 2023 годов&quot; (принят постановлением ЗС Владимирской области от 14.12.2020 N 350) {КонсультантПлюс}">
        <w:r>
          <w:rPr>
            <w:sz w:val="20"/>
            <w:color w:val="0000ff"/>
          </w:rPr>
          <w:t xml:space="preserve">Законом</w:t>
        </w:r>
      </w:hyperlink>
      <w:r>
        <w:rPr>
          <w:sz w:val="20"/>
        </w:rPr>
        <w:t xml:space="preserve"> области от 22 декабря 2020 г. N 130-ОЗ "Об областном бюджете на 2021 год и на плановый период 2022 и 2023 годов", на 106,7%, или на 3387,4 млн. рублей и составят 53775,8 млн. рублей, из них налоговые доходы - 52933,7 млн. рублей (+3368,7 млн. рублей к утвержденным Законом области суммам).</w:t>
      </w:r>
    </w:p>
    <w:p>
      <w:pPr>
        <w:pStyle w:val="0"/>
        <w:spacing w:before="200" w:line-rule="auto"/>
        <w:ind w:firstLine="540"/>
        <w:jc w:val="both"/>
      </w:pPr>
      <w:r>
        <w:rPr>
          <w:sz w:val="20"/>
        </w:rPr>
        <w:t xml:space="preserve">Основные доходные источники, полностью зависимые от состояния экономики области, прогнозируются в 2022 году к утвержденным Законом области суммам:</w:t>
      </w:r>
    </w:p>
    <w:p>
      <w:pPr>
        <w:pStyle w:val="0"/>
        <w:spacing w:before="200" w:line-rule="auto"/>
        <w:ind w:firstLine="540"/>
        <w:jc w:val="both"/>
      </w:pPr>
      <w:r>
        <w:rPr>
          <w:sz w:val="20"/>
        </w:rPr>
        <w:t xml:space="preserve">- налог на прибыль - 121,2%, или в сумме 18919 млн. рублей;</w:t>
      </w:r>
    </w:p>
    <w:p>
      <w:pPr>
        <w:pStyle w:val="0"/>
        <w:spacing w:before="200" w:line-rule="auto"/>
        <w:ind w:firstLine="540"/>
        <w:jc w:val="both"/>
      </w:pPr>
      <w:r>
        <w:rPr>
          <w:sz w:val="20"/>
        </w:rPr>
        <w:t xml:space="preserve">- налог на доходы физических лиц - 100%, или в сумме 17794,8 млн. рублей;</w:t>
      </w:r>
    </w:p>
    <w:p>
      <w:pPr>
        <w:pStyle w:val="0"/>
        <w:spacing w:before="200" w:line-rule="auto"/>
        <w:ind w:firstLine="540"/>
        <w:jc w:val="both"/>
      </w:pPr>
      <w:r>
        <w:rPr>
          <w:sz w:val="20"/>
        </w:rPr>
        <w:t xml:space="preserve">- налог на имущество организаций - 94,1%, или в сумме 3985,6 млн. рублей;</w:t>
      </w:r>
    </w:p>
    <w:p>
      <w:pPr>
        <w:pStyle w:val="0"/>
        <w:spacing w:before="200" w:line-rule="auto"/>
        <w:ind w:firstLine="540"/>
        <w:jc w:val="both"/>
      </w:pPr>
      <w:r>
        <w:rPr>
          <w:sz w:val="20"/>
        </w:rPr>
        <w:t xml:space="preserve">- налог по упрощенной системе налогообложения - 107,7%, или в сумме 3723,3 млн. рублей.</w:t>
      </w:r>
    </w:p>
    <w:p>
      <w:pPr>
        <w:pStyle w:val="0"/>
        <w:spacing w:before="200" w:line-rule="auto"/>
        <w:ind w:firstLine="540"/>
        <w:jc w:val="both"/>
      </w:pPr>
      <w:r>
        <w:rPr>
          <w:sz w:val="20"/>
        </w:rPr>
        <w:t xml:space="preserve">Объем неналоговых доходов прогнозируется в 2022 году выше утвержденных Законом области сумм на 2,3%, или в сумме 842,1 млн. рублей.</w:t>
      </w:r>
    </w:p>
    <w:p>
      <w:pPr>
        <w:pStyle w:val="0"/>
        <w:spacing w:before="200" w:line-rule="auto"/>
        <w:ind w:firstLine="540"/>
        <w:jc w:val="both"/>
      </w:pPr>
      <w:r>
        <w:rPr>
          <w:sz w:val="20"/>
        </w:rPr>
        <w:t xml:space="preserve">На 2023 год прогнозируемый объем налоговых и неналоговых доходов составит 56150 млн. рублей, что выше утвержденного плана на 106,5%, или на 3441,8 млн. рублей. Из них налоговые доходы составят 55302,2 млн. рублей (+3296,4 млн. рублей), неналоговые доходы увеличатся по отношению к утвержденному плану на 20,7% и составят 847,8 млн. рублей.</w:t>
      </w:r>
    </w:p>
    <w:p>
      <w:pPr>
        <w:pStyle w:val="0"/>
        <w:spacing w:before="200" w:line-rule="auto"/>
        <w:ind w:firstLine="540"/>
        <w:jc w:val="both"/>
      </w:pPr>
      <w:r>
        <w:rPr>
          <w:sz w:val="20"/>
        </w:rPr>
        <w:t xml:space="preserve">В 2024 году сумма налоговых и неналоговых доходов составит 58593,5 млн. рублей (104,4% к 2023 году), в том числе налоговые доходы - 57742,6 млн. рублей, неналоговые доходы - 850,9 млн. рублей.</w:t>
      </w:r>
    </w:p>
    <w:p>
      <w:pPr>
        <w:pStyle w:val="0"/>
        <w:spacing w:before="200" w:line-rule="auto"/>
        <w:ind w:firstLine="540"/>
        <w:jc w:val="both"/>
      </w:pPr>
      <w:r>
        <w:rPr>
          <w:sz w:val="20"/>
        </w:rPr>
        <w:t xml:space="preserve">Налоговые и неналоговые доходы дорожного фонда области в 2022 году составят 6735 млн. рублей, что практически на уровне параметров, утвержденных </w:t>
      </w:r>
      <w:hyperlink w:history="0" r:id="rId36" w:tooltip="Закон Владимирской области от 22.12.2020 N 130-ОЗ (ред. от 15.10.2021) &quot;Об областном бюджете на 2021 год и на плановый период 2022 и 2023 годов&quot; (принят постановлением ЗС Владимирской области от 14.12.2020 N 350) {КонсультантПлюс}">
        <w:r>
          <w:rPr>
            <w:sz w:val="20"/>
            <w:color w:val="0000ff"/>
          </w:rPr>
          <w:t xml:space="preserve">Законом</w:t>
        </w:r>
      </w:hyperlink>
      <w:r>
        <w:rPr>
          <w:sz w:val="20"/>
        </w:rPr>
        <w:t xml:space="preserve"> области от 22 декабря 2020 г. N 130-ОЗ "Об областном бюджете на 2021 год и на плановый период 2022 и 2023 годов". На 2023 год прогнозируемый объем налоговых и неналоговых доходов дорожного фонда составит 7334,6 млн. рублей, что выше утвержденного плана на 101,9%, или на 139,4 млн. рублей. В 2024 году налоговые и неналоговые доходы дорожного фонда составят 7594,6 млн. рублей (103,5% к 2023 году).</w:t>
      </w:r>
    </w:p>
    <w:p>
      <w:pPr>
        <w:pStyle w:val="0"/>
        <w:spacing w:before="200" w:line-rule="auto"/>
        <w:ind w:firstLine="540"/>
        <w:jc w:val="both"/>
      </w:pPr>
      <w:r>
        <w:rPr>
          <w:sz w:val="20"/>
        </w:rPr>
        <w:t xml:space="preserve">Параметры налоговых и неналоговых доходов областного бюджета могут быть изменены в случае уточнения показателей социально-экономического развития области и внесения изменений в налоговое и бюджетное законодательство.</w:t>
      </w:r>
    </w:p>
    <w:p>
      <w:pPr>
        <w:pStyle w:val="0"/>
        <w:spacing w:before="200" w:line-rule="auto"/>
        <w:ind w:firstLine="540"/>
        <w:jc w:val="both"/>
      </w:pPr>
      <w:r>
        <w:rPr>
          <w:sz w:val="20"/>
        </w:rPr>
        <w:t xml:space="preserve">Налоговые и неналоговые доходы консолидированного бюджета области оценочно составят в 2022 году 68866,1 млн. рублей (105% к 2021 году), в 2023 году - 71845,3 млн. рублей (104% к 2022 году), в 2024 году - 75080,4 млн. рублей (105% к 2023 году).</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2</w:t>
      </w:r>
    </w:p>
    <w:p>
      <w:pPr>
        <w:pStyle w:val="0"/>
        <w:jc w:val="right"/>
      </w:pPr>
      <w:r>
        <w:rPr>
          <w:sz w:val="20"/>
        </w:rPr>
        <w:t xml:space="preserve">к распоряжению</w:t>
      </w:r>
    </w:p>
    <w:p>
      <w:pPr>
        <w:pStyle w:val="0"/>
        <w:jc w:val="right"/>
      </w:pPr>
      <w:r>
        <w:rPr>
          <w:sz w:val="20"/>
        </w:rPr>
        <w:t xml:space="preserve">администрации</w:t>
      </w:r>
    </w:p>
    <w:p>
      <w:pPr>
        <w:pStyle w:val="0"/>
        <w:jc w:val="right"/>
      </w:pPr>
      <w:r>
        <w:rPr>
          <w:sz w:val="20"/>
        </w:rPr>
        <w:t xml:space="preserve">Владимирской области</w:t>
      </w:r>
    </w:p>
    <w:p>
      <w:pPr>
        <w:pStyle w:val="0"/>
        <w:jc w:val="right"/>
      </w:pPr>
      <w:r>
        <w:rPr>
          <w:sz w:val="20"/>
        </w:rPr>
        <w:t xml:space="preserve">от 05.07.2021 N 512-р</w:t>
      </w:r>
    </w:p>
    <w:p>
      <w:pPr>
        <w:pStyle w:val="0"/>
        <w:jc w:val="both"/>
      </w:pPr>
      <w:r>
        <w:rPr>
          <w:sz w:val="20"/>
        </w:rPr>
      </w:r>
    </w:p>
    <w:bookmarkStart w:id="411" w:name="P411"/>
    <w:bookmarkEnd w:id="411"/>
    <w:p>
      <w:pPr>
        <w:pStyle w:val="2"/>
        <w:jc w:val="center"/>
      </w:pPr>
      <w:r>
        <w:rPr>
          <w:sz w:val="20"/>
        </w:rPr>
        <w:t xml:space="preserve">ОСНОВНЫЕ НАПРАВЛЕНИЯ</w:t>
      </w:r>
    </w:p>
    <w:p>
      <w:pPr>
        <w:pStyle w:val="2"/>
        <w:jc w:val="center"/>
      </w:pPr>
      <w:r>
        <w:rPr>
          <w:sz w:val="20"/>
        </w:rPr>
        <w:t xml:space="preserve">БЮДЖЕТНОЙ ПОЛИТИКИ ВЛАДИМИРСКОЙ ОБЛАСТИ НА 2022 ГОД</w:t>
      </w:r>
    </w:p>
    <w:p>
      <w:pPr>
        <w:pStyle w:val="2"/>
        <w:jc w:val="center"/>
      </w:pPr>
      <w:r>
        <w:rPr>
          <w:sz w:val="20"/>
        </w:rPr>
        <w:t xml:space="preserve">И НА ПЛАНОВЫЙ ПЕРИОД 2023 И 2024 ГОДОВ</w:t>
      </w:r>
    </w:p>
    <w:p>
      <w:pPr>
        <w:pStyle w:val="0"/>
        <w:jc w:val="both"/>
      </w:pPr>
      <w:r>
        <w:rPr>
          <w:sz w:val="20"/>
        </w:rPr>
      </w:r>
    </w:p>
    <w:p>
      <w:pPr>
        <w:pStyle w:val="0"/>
        <w:ind w:firstLine="540"/>
        <w:jc w:val="both"/>
      </w:pPr>
      <w:r>
        <w:rPr>
          <w:sz w:val="20"/>
        </w:rPr>
        <w:t xml:space="preserve">Основные направления бюджетной политики Владимирской области на 2022 год и на плановый период 2023 и 2024 годов (далее - бюджетная политика на 2022 - 2024 годы) разработаны в соответствии со </w:t>
      </w:r>
      <w:hyperlink w:history="0" r:id="rId37" w:tooltip="&quot;Бюджетный кодекс Российской Федерации&quot; от 31.07.1998 N 145-ФЗ (ред. от 19.12.2022) ------------ Недействующая редакция {КонсультантПлюс}">
        <w:r>
          <w:rPr>
            <w:sz w:val="20"/>
            <w:color w:val="0000ff"/>
          </w:rPr>
          <w:t xml:space="preserve">статьей 172</w:t>
        </w:r>
      </w:hyperlink>
      <w:r>
        <w:rPr>
          <w:sz w:val="20"/>
        </w:rPr>
        <w:t xml:space="preserve"> Бюджетного кодекса Российской Федерации. При подготовке бюджетной политики на 2022 - 2024 годы учтены положения </w:t>
      </w:r>
      <w:hyperlink w:history="0" r:id="rId38" w:tooltip="Указ Президента РФ от 07.05.2018 N 204 (ред. от 21.07.2020) &quot;О национальных целях и стратегических задачах развития Российской Федерации на период до 2024 года&quot; {КонсультантПлюс}">
        <w:r>
          <w:rPr>
            <w:sz w:val="20"/>
            <w:color w:val="0000ff"/>
          </w:rPr>
          <w:t xml:space="preserve">Указа</w:t>
        </w:r>
      </w:hyperlink>
      <w:r>
        <w:rPr>
          <w:sz w:val="20"/>
        </w:rPr>
        <w:t xml:space="preserve"> Президента Российской Федерации от 7 мая 2018 г. N 204 "О национальных целях и стратегических задачах развития Российской Федерации на период до 2024 года", </w:t>
      </w:r>
      <w:hyperlink w:history="0" r:id="rId39" w:tooltip="Указ Президента РФ от 21.07.2020 N 474 &quot;О национальных целях развития Российской Федерации на период до 2030 года&quot; {КонсультантПлюс}">
        <w:r>
          <w:rPr>
            <w:sz w:val="20"/>
            <w:color w:val="0000ff"/>
          </w:rPr>
          <w:t xml:space="preserve">Указа</w:t>
        </w:r>
      </w:hyperlink>
      <w:r>
        <w:rPr>
          <w:sz w:val="20"/>
        </w:rPr>
        <w:t xml:space="preserve"> Президента Российской Федерации от 21 июля 2020 г. N 474 "О национальных целях развития Российской Федерации на период до 2030 года", послания Президента Российской Федерации Федеральному Собранию Российской Федерации от 21 апреля 2021 года.</w:t>
      </w:r>
    </w:p>
    <w:p>
      <w:pPr>
        <w:pStyle w:val="0"/>
        <w:jc w:val="both"/>
      </w:pPr>
      <w:r>
        <w:rPr>
          <w:sz w:val="20"/>
        </w:rPr>
      </w:r>
    </w:p>
    <w:p>
      <w:pPr>
        <w:pStyle w:val="2"/>
        <w:outlineLvl w:val="1"/>
        <w:jc w:val="center"/>
      </w:pPr>
      <w:r>
        <w:rPr>
          <w:sz w:val="20"/>
        </w:rPr>
        <w:t xml:space="preserve">1. Основные цели и задачи бюджетной политики</w:t>
      </w:r>
    </w:p>
    <w:p>
      <w:pPr>
        <w:pStyle w:val="2"/>
        <w:jc w:val="center"/>
      </w:pPr>
      <w:r>
        <w:rPr>
          <w:sz w:val="20"/>
        </w:rPr>
        <w:t xml:space="preserve">на 2022 - 2024 годы</w:t>
      </w:r>
    </w:p>
    <w:p>
      <w:pPr>
        <w:pStyle w:val="0"/>
        <w:jc w:val="both"/>
      </w:pPr>
      <w:r>
        <w:rPr>
          <w:sz w:val="20"/>
        </w:rPr>
      </w:r>
    </w:p>
    <w:p>
      <w:pPr>
        <w:pStyle w:val="0"/>
        <w:ind w:firstLine="540"/>
        <w:jc w:val="both"/>
      </w:pPr>
      <w:r>
        <w:rPr>
          <w:sz w:val="20"/>
        </w:rPr>
        <w:t xml:space="preserve">Целью бюджетной политики на 2022 - 2024 годы является определение условий, используемых при составлении проекта областного бюджета на 2022 год и на плановый период 2023 и 2024 годов, подходов к его формированию, основных характеристик и прогнозируемых параметров областного бюджета на 2022 - 2024 годы.</w:t>
      </w:r>
    </w:p>
    <w:p>
      <w:pPr>
        <w:pStyle w:val="0"/>
        <w:spacing w:before="200" w:line-rule="auto"/>
        <w:ind w:firstLine="540"/>
        <w:jc w:val="both"/>
      </w:pPr>
      <w:r>
        <w:rPr>
          <w:sz w:val="20"/>
        </w:rPr>
        <w:t xml:space="preserve">Бюджетная политика реализуется через исполнение действующих расходных обязательств региона, возникших в результате принятых областных законов и (или) иных нормативных правовых актов при осуществлении органами государственной власти области полномочий по предметам ведения субъектов Российской Федерации и по предметам совместного ведения, указанных в </w:t>
      </w:r>
      <w:hyperlink w:history="0" r:id="rId40" w:tooltip="Федеральный закон от 06.10.1999 N 184-ФЗ (ред. от 21.12.2021, с изм. от 14.07.2022)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с изм. и доп., вступ. в силу с 01.06.2022) ------------ Утратил силу или отменен {КонсультантПлюс}">
        <w:r>
          <w:rPr>
            <w:sz w:val="20"/>
            <w:color w:val="0000ff"/>
          </w:rPr>
          <w:t xml:space="preserve">пунктах 2</w:t>
        </w:r>
      </w:hyperlink>
      <w:r>
        <w:rPr>
          <w:sz w:val="20"/>
        </w:rPr>
        <w:t xml:space="preserve"> и </w:t>
      </w:r>
      <w:hyperlink w:history="0" r:id="rId41" w:tooltip="Федеральный закон от 06.10.1999 N 184-ФЗ (ред. от 21.12.2021, с изм. от 14.07.2022)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с изм. и доп., вступ. в силу с 01.06.2022) ------------ Утратил силу или отменен {КонсультантПлюс}">
        <w:r>
          <w:rPr>
            <w:sz w:val="20"/>
            <w:color w:val="0000ff"/>
          </w:rPr>
          <w:t xml:space="preserve">5 статьи 26.3</w:t>
        </w:r>
      </w:hyperlink>
      <w:r>
        <w:rPr>
          <w:sz w:val="20"/>
        </w:rPr>
        <w:t xml:space="preserve"> Федерального закона от 6 октября 1999 г.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Объем расходных обязательств ограничен возможностями региональной экономики и уровнем доходов сектора домашних хозяйств. При этом необходимо отметить, что областной бюджет ежегодно получает дотацию на выравнивание бюджетной обеспеченности субъектов Российской Федерации из федерального бюджета. В соответствии с </w:t>
      </w:r>
      <w:hyperlink w:history="0" r:id="rId42" w:tooltip="Приказ Минфина России от 11.11.2020 N 1030 &quot;Об утверждении перечней субъектов Российской Федерации в соответствии с положениями пункта 5 статьи 130 Бюджетного кодекса Российской Федерации&quot; {КонсультантПлюс}">
        <w:r>
          <w:rPr>
            <w:sz w:val="20"/>
            <w:color w:val="0000ff"/>
          </w:rPr>
          <w:t xml:space="preserve">приказом</w:t>
        </w:r>
      </w:hyperlink>
      <w:r>
        <w:rPr>
          <w:sz w:val="20"/>
        </w:rPr>
        <w:t xml:space="preserve"> Минфина России от 11 ноября 2020 г. N 1030 "Об утверждении перечней субъектов Российской Федерации в соответствии с положениями пункта 5 статьи 130 Бюджетного кодекса Российской Федерации" доля указанной дотации из федерального бюджета в течение двух из трех последних отчетных финансовых лет превышала 10% объема собственных доходов консолидированного бюджета области. В этой связи к бюджету Владимирской области применяются ограничения, установленные </w:t>
      </w:r>
      <w:hyperlink w:history="0" r:id="rId43" w:tooltip="&quot;Бюджетный кодекс Российской Федерации&quot; от 31.07.1998 N 145-ФЗ (ред. от 19.12.2022) ------------ Недействующая редакция {КонсультантПлюс}">
        <w:r>
          <w:rPr>
            <w:sz w:val="20"/>
            <w:color w:val="0000ff"/>
          </w:rPr>
          <w:t xml:space="preserve">пунктом 3 статьи 130</w:t>
        </w:r>
      </w:hyperlink>
      <w:r>
        <w:rPr>
          <w:sz w:val="20"/>
        </w:rPr>
        <w:t xml:space="preserve"> Бюджетного кодекса Российской Федерации, а именно: начиная с очередного финансового года субъект Российской Федерации не имеет права устанавливать и исполнять расходные обязательства, не связанные с решением вопросов, отнесенных </w:t>
      </w:r>
      <w:hyperlink w:history="0" r:id="rId4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и федеральными законами к полномочиям органов государственной власти субъектов Российской Федерации.</w:t>
      </w:r>
    </w:p>
    <w:p>
      <w:pPr>
        <w:pStyle w:val="0"/>
        <w:spacing w:before="200" w:line-rule="auto"/>
        <w:ind w:firstLine="540"/>
        <w:jc w:val="both"/>
      </w:pPr>
      <w:r>
        <w:rPr>
          <w:sz w:val="20"/>
        </w:rPr>
        <w:t xml:space="preserve">Кроме того, Владимирская область участвует в реструктуризации бюджетных кредитов из федерального бюджета, следовательно, планирование основных параметров областного бюджета должно осуществляться с учетом соблюдения целевых показателей по объему дефицита и уровню государственного долга, установленных соглашениями с Минфином России в данной сфере, утвержденными </w:t>
      </w:r>
      <w:hyperlink w:history="0" r:id="rId45" w:tooltip="Закон Владимирской области от 05.10.2020 N 66-ОЗ &quot;Об утверждении дополнительных соглашений к Соглашениям о предоставлении бюджету Владимирской области из федерального бюджета бюджетного кредита для частичного покрытия дефицита бюджета Владимирской области, заключенных между Министерством финансов Российской Федерации и департаментом финансов, бюджетной и налоговой политики администрации Владимирской области&quot; (принят постановлением ЗС Владимирской области от 24.09.2020 N 227) {КонсультантПлюс}">
        <w:r>
          <w:rPr>
            <w:sz w:val="20"/>
            <w:color w:val="0000ff"/>
          </w:rPr>
          <w:t xml:space="preserve">Законом</w:t>
        </w:r>
      </w:hyperlink>
      <w:r>
        <w:rPr>
          <w:sz w:val="20"/>
        </w:rPr>
        <w:t xml:space="preserve"> области от 5 октября 2020 г. N 66-ОЗ "Об утверждении дополнительных соглашений к соглашениям о предоставлении бюджету Владимирской области из федерального бюджета бюджетного кредита для частичного покрытия дефицита бюджета Владимирской области, заключенных между Министерством финансов Российской Федерации и департаментом финансов, бюджетной и налоговой политики администрации Владимирской области" (размер дефицита - не более 10% от налоговых и неналоговых доходов, долговая нагрузка на областной бюджет - до 14%, в том числе рыночная долговая нагрузка - до 8%).</w:t>
      </w:r>
    </w:p>
    <w:p>
      <w:pPr>
        <w:pStyle w:val="0"/>
        <w:spacing w:before="200" w:line-rule="auto"/>
        <w:ind w:firstLine="540"/>
        <w:jc w:val="both"/>
      </w:pPr>
      <w:r>
        <w:rPr>
          <w:sz w:val="20"/>
        </w:rPr>
        <w:t xml:space="preserve">В 2020 - 2021 годах, наряду с ростом социальных обязательств и расходов на реализацию региональных составляющих национальных проектов, дополнительных бюджетных ресурсов потребовали мероприятия по предупреждению распространения новой коронавирусной инфекции. В предстоящий период бюджетные ассигнования необходимо направить на решение новых инициатив Президента Российской Федерации по росту реальных доходов населения и на реализацию инфраструктурных проектов региона в интересах людей. Это проекты по строительству объектов социальной сферы, а также в области жилищно-коммунального хозяйства и дорожного строительства.</w:t>
      </w:r>
    </w:p>
    <w:p>
      <w:pPr>
        <w:pStyle w:val="0"/>
        <w:spacing w:before="200" w:line-rule="auto"/>
        <w:ind w:firstLine="540"/>
        <w:jc w:val="both"/>
      </w:pPr>
      <w:r>
        <w:rPr>
          <w:sz w:val="20"/>
        </w:rPr>
        <w:t xml:space="preserve">В соответствии со сценарными условиями развития российской экономики, разработанными Минэкономразвития России, в Российской Федерации в 2022 - 2024 годах сохраняется повышенная неопределенность показателей экономического развития Российской Федерации, вызванная экономическими последствиями распространения новой коронавирусной инфекции.</w:t>
      </w:r>
    </w:p>
    <w:p>
      <w:pPr>
        <w:pStyle w:val="0"/>
        <w:spacing w:before="200" w:line-rule="auto"/>
        <w:ind w:firstLine="540"/>
        <w:jc w:val="both"/>
      </w:pPr>
      <w:r>
        <w:rPr>
          <w:sz w:val="20"/>
        </w:rPr>
        <w:t xml:space="preserve">В таких непростых экономических условиях основной задачей бюджетной политики является обеспечение сбалансированности областного бюджета как базового принципа ответственной бюджетной политики, включая следующие направления:</w:t>
      </w:r>
    </w:p>
    <w:p>
      <w:pPr>
        <w:pStyle w:val="0"/>
        <w:spacing w:before="200" w:line-rule="auto"/>
        <w:ind w:firstLine="540"/>
        <w:jc w:val="both"/>
      </w:pPr>
      <w:r>
        <w:rPr>
          <w:sz w:val="20"/>
        </w:rPr>
        <w:t xml:space="preserve">1) первоочередное планирование бюджетных ассигнований на исполнение действующих расходных обязательств области;</w:t>
      </w:r>
    </w:p>
    <w:p>
      <w:pPr>
        <w:pStyle w:val="0"/>
        <w:spacing w:before="200" w:line-rule="auto"/>
        <w:ind w:firstLine="540"/>
        <w:jc w:val="both"/>
      </w:pPr>
      <w:r>
        <w:rPr>
          <w:sz w:val="20"/>
        </w:rPr>
        <w:t xml:space="preserve">2) принятие новых расходных обязательств области в рамках установленных </w:t>
      </w:r>
      <w:hyperlink w:history="0" r:id="rId46" w:tooltip="&quot;Бюджетный кодекс Российской Федерации&quot; от 31.07.1998 N 145-ФЗ (ред. от 19.12.2022) ------------ Недействующая редакция {КонсультантПлюс}">
        <w:r>
          <w:rPr>
            <w:sz w:val="20"/>
            <w:color w:val="0000ff"/>
          </w:rPr>
          <w:t xml:space="preserve">пунктом 3 статьи 130</w:t>
        </w:r>
      </w:hyperlink>
      <w:r>
        <w:rPr>
          <w:sz w:val="20"/>
        </w:rPr>
        <w:t xml:space="preserve"> Бюджетного кодекса Российской Федерации полномочий и исключительно после финансового обеспечения действующих расходных обязательств в полном объеме исходя из возможностей доходов областного бюджета и источников финансирования дефицита бюджета, ограниченных условиями реструктуризации бюджетных кредитов из федерального бюджета, утвержденных </w:t>
      </w:r>
      <w:hyperlink w:history="0" r:id="rId47" w:tooltip="Закон Владимирской области от 05.10.2020 N 66-ОЗ &quot;Об утверждении дополнительных соглашений к Соглашениям о предоставлении бюджету Владимирской области из федерального бюджета бюджетного кредита для частичного покрытия дефицита бюджета Владимирской области, заключенных между Министерством финансов Российской Федерации и департаментом финансов, бюджетной и налоговой политики администрации Владимирской области&quot; (принят постановлением ЗС Владимирской области от 24.09.2020 N 227) {КонсультантПлюс}">
        <w:r>
          <w:rPr>
            <w:sz w:val="20"/>
            <w:color w:val="0000ff"/>
          </w:rPr>
          <w:t xml:space="preserve">Законом</w:t>
        </w:r>
      </w:hyperlink>
      <w:r>
        <w:rPr>
          <w:sz w:val="20"/>
        </w:rPr>
        <w:t xml:space="preserve"> области от 5 октября 2020 г. N 66-ОЗ. В составе новых расходных обязательств области должны быть предусмотрены бюджетные ассигнования областного бюджета на:</w:t>
      </w:r>
    </w:p>
    <w:p>
      <w:pPr>
        <w:pStyle w:val="0"/>
        <w:spacing w:before="200" w:line-rule="auto"/>
        <w:ind w:firstLine="540"/>
        <w:jc w:val="both"/>
      </w:pPr>
      <w:r>
        <w:rPr>
          <w:sz w:val="20"/>
        </w:rPr>
        <w:t xml:space="preserve">а) сохранение в 2022 - 2024 годах достигнутых соотношений к среднемесячному доходу от трудовой деятельности во Владимирской области средней заработной платы отдельных категорий работников бюджетной сферы, поименованных в указах Президента Российской Федерации 2012 года;</w:t>
      </w:r>
    </w:p>
    <w:p>
      <w:pPr>
        <w:pStyle w:val="0"/>
        <w:spacing w:before="200" w:line-rule="auto"/>
        <w:ind w:firstLine="540"/>
        <w:jc w:val="both"/>
      </w:pPr>
      <w:r>
        <w:rPr>
          <w:sz w:val="20"/>
        </w:rPr>
        <w:t xml:space="preserve">б) индексацию расходов на оплату труда работников областных учреждений, финансируемых за счет областного бюджета, не подпадающих под действие указов Президента Российской Федерации 2012 года, на уровень не ниже инфляции;</w:t>
      </w:r>
    </w:p>
    <w:p>
      <w:pPr>
        <w:pStyle w:val="0"/>
        <w:spacing w:before="200" w:line-rule="auto"/>
        <w:ind w:firstLine="540"/>
        <w:jc w:val="both"/>
      </w:pPr>
      <w:r>
        <w:rPr>
          <w:sz w:val="20"/>
        </w:rPr>
        <w:t xml:space="preserve">в) индексацию размеров социальных пособий на уровень не ниже инфляции с учетом изменения численности их получателей и критериев нуждаемости;</w:t>
      </w:r>
    </w:p>
    <w:p>
      <w:pPr>
        <w:pStyle w:val="0"/>
        <w:spacing w:before="200" w:line-rule="auto"/>
        <w:ind w:firstLine="540"/>
        <w:jc w:val="both"/>
      </w:pPr>
      <w:r>
        <w:rPr>
          <w:sz w:val="20"/>
        </w:rPr>
        <w:t xml:space="preserve">г) реализацию новых инфраструктурных проектов по строительству объектов социальной сферы, жилищно-коммунального и дорожного хозяйства, промышленности;</w:t>
      </w:r>
    </w:p>
    <w:p>
      <w:pPr>
        <w:pStyle w:val="0"/>
        <w:spacing w:before="200" w:line-rule="auto"/>
        <w:ind w:firstLine="540"/>
        <w:jc w:val="both"/>
      </w:pPr>
      <w:r>
        <w:rPr>
          <w:sz w:val="20"/>
        </w:rPr>
        <w:t xml:space="preserve">3) ограничение роста расходов на содержание органов государственной власти области;</w:t>
      </w:r>
    </w:p>
    <w:p>
      <w:pPr>
        <w:pStyle w:val="0"/>
        <w:spacing w:before="200" w:line-rule="auto"/>
        <w:ind w:firstLine="540"/>
        <w:jc w:val="both"/>
      </w:pPr>
      <w:r>
        <w:rPr>
          <w:sz w:val="20"/>
        </w:rPr>
        <w:t xml:space="preserve">4) расширение практики использования механизмов государственно-частного партнерства, в том числе в социальной сфере;</w:t>
      </w:r>
    </w:p>
    <w:p>
      <w:pPr>
        <w:pStyle w:val="0"/>
        <w:spacing w:before="200" w:line-rule="auto"/>
        <w:ind w:firstLine="540"/>
        <w:jc w:val="both"/>
      </w:pPr>
      <w:r>
        <w:rPr>
          <w:sz w:val="20"/>
        </w:rPr>
        <w:t xml:space="preserve">5) усиление стимулирующей роли межбюджетных трансфертов, в том числе в части повышения заинтересованности органов местного самоуправления в содействии развитию экономики соответствующих территорий муниципальных образований и развитии инициативного бюджетирования;</w:t>
      </w:r>
    </w:p>
    <w:p>
      <w:pPr>
        <w:pStyle w:val="0"/>
        <w:spacing w:before="200" w:line-rule="auto"/>
        <w:ind w:firstLine="540"/>
        <w:jc w:val="both"/>
      </w:pPr>
      <w:r>
        <w:rPr>
          <w:sz w:val="20"/>
        </w:rPr>
        <w:t xml:space="preserve">6) привлечение дополнительных межбюджетных трансфертов из федерального бюджета в областной бюджет. Объем межбюджетных трансфертов утвержден региону в федеральном бюджете ниже ожидаемого исполнения текущего года: на 2022 год - на 26,6%, на 2023 год - на 28,7%, том числе в сферах: культуры - на 64% и 45% соответственно, транспорта и дорожного хозяйства - на 65% и 83%, поддержки малого и среднего бизнеса - 79% и 73%. Учитывая, что на данном этапе формирования бюджетных проектировок федеральные межбюджетные трансферты включаются в доходы областного бюджета в суммах, утвержденных в федеральном бюджете на 2021 - 2023 годы, при рассмотрении проекта федерального бюджета на 2022 - 2024 годы объем финансовой помощи региону должен быть приведен в соответствие с данным проектом. В случае увеличения объема федеральных целевых средств будет снижен дефицит областного бюджета, что позволит улучшить сбалансированность бюджета. С этой целью областным органам исполнительной власти необходимо обеспечить привлечение дополнительных целевых средств из федерального бюджета в областной бюджет. Эту задачу позволит решить созданный в областном бюджете резерв средств на участие области в государственных программах Российской Федерации.</w:t>
      </w:r>
    </w:p>
    <w:p>
      <w:pPr>
        <w:pStyle w:val="0"/>
        <w:spacing w:before="200" w:line-rule="auto"/>
        <w:ind w:firstLine="540"/>
        <w:jc w:val="both"/>
      </w:pPr>
      <w:r>
        <w:rPr>
          <w:sz w:val="20"/>
        </w:rPr>
        <w:t xml:space="preserve">Основным инструментом достижения целей бюджетной политики являются государственные программы области, включающие в себя региональные проекты, реализуемые в рамках национальных проектов.</w:t>
      </w:r>
    </w:p>
    <w:p>
      <w:pPr>
        <w:pStyle w:val="0"/>
        <w:spacing w:before="200" w:line-rule="auto"/>
        <w:ind w:firstLine="540"/>
        <w:jc w:val="both"/>
      </w:pPr>
      <w:r>
        <w:rPr>
          <w:sz w:val="20"/>
        </w:rPr>
        <w:t xml:space="preserve">С 2022 года начнет действовать новая система управления государственными программами, утвержденная </w:t>
      </w:r>
      <w:hyperlink w:history="0" r:id="rId48" w:tooltip="Постановление Правительства РФ от 26.05.2021 N 786 (ред. от 29.10.2022) &quot;О системе управления государственными программами Российской Федерации&quot; (вместе с &quot;Положением о системе управления государственными программами Российской Федерации&quot;) ------------ Недействующая редакция {КонсультантПлюс}">
        <w:r>
          <w:rPr>
            <w:sz w:val="20"/>
            <w:color w:val="0000ff"/>
          </w:rPr>
          <w:t xml:space="preserve">постановлением</w:t>
        </w:r>
      </w:hyperlink>
      <w:r>
        <w:rPr>
          <w:sz w:val="20"/>
        </w:rPr>
        <w:t xml:space="preserve"> Правительства Российской Федерации от 26 мая 2021 г. N 786 "О системе управления государственными программами Российской Федерации". Органам исполнительной власти области и иным главным распорядителям средств областного бюджета, являющимся ответственными исполнителями госпрограмм области, в течение 2021 года необходимо обеспечить разработку новых госпрограмм области с учетом требований указанного постановления Правительства Российской Федерации, а также с учетом результатов госпрограмм за предыдущий год. Для каждой госпрограммы должен быть сформирован перечень общественно значимых показателей, взаимосвязанных с показателями национальных проектов. Цель такой работы - определить, каким образом реализация госпрограммы влияет на жизнь граждан и насколько эффективно выполняются запланированные в ней мероприятия. В госпрограммах должна быть выделена проектная часть, предусматривающая выполнение конкретных задач за ограниченный период времени. В нее войдут мероприятия, связанные с инвестициями в строительство объектов, точные сроки завершения работ и необходимый объем ресурсов. В госпрограммах должны быть сохранены процессные - реализуемые на постоянной основе мероприятия, например, социальные выплаты гражданам. Управление госпрограммами должно стать более гибким, должны быть определены кураторы программ, которые будут контролировать управляющие советы и, соответственно, ход реализации программы. Данные изменения в управлении госпрограммами позволят сфокусировать госпрограммы на достижении национальных целей развития, утвержденных Президентом Российской Федерации, повысят их эффективность и упростят контроль за реализацией мероприятий и достижением измеримых результатов от вложения бюджетных средств, которые можно запланировать и проверить.</w:t>
      </w:r>
    </w:p>
    <w:p>
      <w:pPr>
        <w:pStyle w:val="0"/>
        <w:spacing w:before="200" w:line-rule="auto"/>
        <w:ind w:firstLine="540"/>
        <w:jc w:val="both"/>
      </w:pPr>
      <w:r>
        <w:rPr>
          <w:sz w:val="20"/>
        </w:rPr>
        <w:t xml:space="preserve">В рамках реализации </w:t>
      </w:r>
      <w:hyperlink w:history="0" r:id="rId49" w:tooltip="Постановление Правительства РФ от 18.09.2020 N 1492 (ред. от 05.12.2022) &quot;Об общих требованиях к нормативным правовым актам, муниципальным правовым актам, регулирующим предоставление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quot; ------------ Недействующая редакция {КонсультантПлюс}">
        <w:r>
          <w:rPr>
            <w:sz w:val="20"/>
            <w:color w:val="0000ff"/>
          </w:rPr>
          <w:t xml:space="preserve">постановления</w:t>
        </w:r>
      </w:hyperlink>
      <w:r>
        <w:rPr>
          <w:sz w:val="20"/>
        </w:rPr>
        <w:t xml:space="preserve"> Правительства Российской Федерации от 18 сентября 2020 г. N 1492 "Об общих требованиях к нормативным правовым актам, муниципальным правовым актам, регулирующим предоставление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 предстоит повысить результативность субсидий, предоставляемых юридическим лицам, не являющимся государственными учреждениями. Необходимо обеспечить публичность отбора получателей субсидий, прозрачные четкие процедуры отбора (конкурса или запроса предложений) будущих получателей субсидий, измеримые результаты от использования субсидий. Информация о результатах отбора должна быть размещена на едином портале бюджетной системы.</w:t>
      </w:r>
    </w:p>
    <w:p>
      <w:pPr>
        <w:pStyle w:val="0"/>
        <w:spacing w:before="200" w:line-rule="auto"/>
        <w:ind w:firstLine="540"/>
        <w:jc w:val="both"/>
      </w:pPr>
      <w:r>
        <w:rPr>
          <w:sz w:val="20"/>
        </w:rPr>
        <w:t xml:space="preserve">В целях обеспечения достижения результатов от использования бюджетных средств необходимо продолжить контроль за равномерным исполнением расходов областного бюджета. Соглашения о предоставлении субсидий и иных межбюджетных трансфертов из областного бюджета местным бюджетам на 2022 - 2024 годы должны быть заключены органами исполнительной власти области с местными администрациями до 15 февраля 2022 года. Органы исполнительной власти области должны обеспечить заключение подведомственными государственными учреждениями договоров (контрактов) на поставки товаров, выполнение работ, оказание услуг для государственных нужд области не позднее 1 марта 2022 года. На основании бюджетного законодательства должны быть усилены меры персональной ответственности ответственных исполнителей госпрограмм за недостижение установленных результатов.</w:t>
      </w:r>
    </w:p>
    <w:p>
      <w:pPr>
        <w:pStyle w:val="0"/>
        <w:spacing w:before="200" w:line-rule="auto"/>
        <w:ind w:firstLine="540"/>
        <w:jc w:val="both"/>
      </w:pPr>
      <w:r>
        <w:rPr>
          <w:sz w:val="20"/>
        </w:rPr>
        <w:t xml:space="preserve">Продолжится совершенствование финансовых взаимоотношений с муниципальными образованиями.</w:t>
      </w:r>
    </w:p>
    <w:p>
      <w:pPr>
        <w:pStyle w:val="0"/>
        <w:spacing w:before="200" w:line-rule="auto"/>
        <w:ind w:firstLine="540"/>
        <w:jc w:val="both"/>
      </w:pPr>
      <w:r>
        <w:rPr>
          <w:sz w:val="20"/>
        </w:rPr>
        <w:t xml:space="preserve">В соответствии с </w:t>
      </w:r>
      <w:hyperlink w:history="0" r:id="rId50" w:tooltip="&quot;Перечень поручений по итогам заседания Совета по развитию местного самоуправления&quot; (утв. Президентом РФ 01.03.2020 N Пр-354) {КонсультантПлюс}">
        <w:r>
          <w:rPr>
            <w:sz w:val="20"/>
            <w:color w:val="0000ff"/>
          </w:rPr>
          <w:t xml:space="preserve">поручением</w:t>
        </w:r>
      </w:hyperlink>
      <w:r>
        <w:rPr>
          <w:sz w:val="20"/>
        </w:rPr>
        <w:t xml:space="preserve"> Президента Российской Федерации от 1 марта 2020 г. N Пр-354 должно быть продолжено создание условий для реализации мероприятий, имеющих приоритетное значение для жителей муниципального образования и определяемых с учетом их мнения (путем проведения открытого голосования или конкурсного отбора). В рамках реализации </w:t>
      </w:r>
      <w:hyperlink w:history="0" r:id="rId51" w:tooltip="Закон Владимирской области от 09.02.2021 N 12-ОЗ &quot;Об отдельных вопросах в сфере регулирования отношений по реализации инициативных проектов, выдвигаемых для получения финансовой поддержки за счет межбюджетных трансфертов из областного бюджета, во Владимирской области&quot; (принят постановлением ЗС Владимирской области от 28.01.2021 N 9) {КонсультантПлюс}">
        <w:r>
          <w:rPr>
            <w:sz w:val="20"/>
            <w:color w:val="0000ff"/>
          </w:rPr>
          <w:t xml:space="preserve">Закона</w:t>
        </w:r>
      </w:hyperlink>
      <w:r>
        <w:rPr>
          <w:sz w:val="20"/>
        </w:rPr>
        <w:t xml:space="preserve"> области от 9 февраля 2021 г. N 12-ОЗ "Об отдельных вопросах в сфере регулирования отношений по реализации инициативных проектов, выдвигаемых для получения финансовой поддержки за счет межбюджетных трансфертов из областного бюджета, во Владимирской области" следует обеспечить возможность направления на осуществление этих мероприятий по истечении трех лет не менее пяти процентов расходов местного бюджета, в первую очередь, по таким направлениям, как благоустройство городской среды, проведение культурных и спортивных мероприятий, обустройство объектов социальной инфраструктуры и прилегающих к ним территорий. Расходы на исполнение указанных мероприятий должны найти отражение в государственных программах области, начиная с 2022 года. Будет продолжена поддержка развития инициативного бюджетирования в муниципальных образованиях через стимулирование доходов местных бюджетов за счет самообложения граждан и добровольных пожертвований, направленных на реализацию инициативных проектов.</w:t>
      </w:r>
    </w:p>
    <w:p>
      <w:pPr>
        <w:pStyle w:val="0"/>
        <w:spacing w:before="200" w:line-rule="auto"/>
        <w:ind w:firstLine="540"/>
        <w:jc w:val="both"/>
      </w:pPr>
      <w:r>
        <w:rPr>
          <w:sz w:val="20"/>
        </w:rPr>
        <w:t xml:space="preserve">В целях объединения усилий двух и более муниципальных образований при реализации органами местного самоуправления своих полномочий муниципальным образованиям рекомендуется предоставлять "горизонтальную" субсидию из одного местного бюджета другому местному бюджету. Это позволит повысить эффективность и результативность выполнения соответствующими органами местного самоуправления своих полномочий. При проведении оценки качества управления муниципальными финансами данные усилия муниципалитетов планируется поощрять при предоставлении дотаций на поддержку мер по обеспечению сбалансированности местных бюджетов из областного бюджета.</w:t>
      </w:r>
    </w:p>
    <w:p>
      <w:pPr>
        <w:pStyle w:val="0"/>
        <w:spacing w:before="200" w:line-rule="auto"/>
        <w:ind w:firstLine="540"/>
        <w:jc w:val="both"/>
      </w:pPr>
      <w:r>
        <w:rPr>
          <w:sz w:val="20"/>
        </w:rPr>
        <w:t xml:space="preserve">Должна быть продолжена практика предоставления грантовой поддержки муниципальным образованиям исключительно при выполнении органами местного самоуправления показателей региональных составляющих национальных проектов.</w:t>
      </w:r>
    </w:p>
    <w:p>
      <w:pPr>
        <w:pStyle w:val="0"/>
        <w:jc w:val="both"/>
      </w:pPr>
      <w:r>
        <w:rPr>
          <w:sz w:val="20"/>
        </w:rPr>
      </w:r>
    </w:p>
    <w:p>
      <w:pPr>
        <w:pStyle w:val="2"/>
        <w:outlineLvl w:val="1"/>
        <w:jc w:val="center"/>
      </w:pPr>
      <w:r>
        <w:rPr>
          <w:sz w:val="20"/>
        </w:rPr>
        <w:t xml:space="preserve">2. Направления бюджетных расходов</w:t>
      </w:r>
    </w:p>
    <w:p>
      <w:pPr>
        <w:pStyle w:val="0"/>
        <w:jc w:val="both"/>
      </w:pPr>
      <w:r>
        <w:rPr>
          <w:sz w:val="20"/>
        </w:rPr>
      </w:r>
    </w:p>
    <w:p>
      <w:pPr>
        <w:pStyle w:val="0"/>
        <w:ind w:firstLine="540"/>
        <w:jc w:val="both"/>
      </w:pPr>
      <w:r>
        <w:rPr>
          <w:sz w:val="20"/>
        </w:rPr>
        <w:t xml:space="preserve">Бюджетная политика призвана обеспечить финансовыми ресурсами расходные обязательства региона по закрепленным за ним федеральным законодательством полномочиям. С этой целью более 72% расходов областного бюджета будет направлено на финансирование отраслей социальной сферы. Таким образом, социальные расходы - важнейший приоритет расходов областного бюджета.</w:t>
      </w:r>
    </w:p>
    <w:p>
      <w:pPr>
        <w:pStyle w:val="0"/>
        <w:spacing w:before="200" w:line-rule="auto"/>
        <w:ind w:firstLine="540"/>
        <w:jc w:val="both"/>
      </w:pPr>
      <w:r>
        <w:rPr>
          <w:sz w:val="20"/>
        </w:rPr>
        <w:t xml:space="preserve">Реализация бюджетной политики в сфере образования будет направлена на достижение стратегических целей и решение задач путем реализации мероприятий, осуществляемых в рамках национальных проектов "Образование" и "Демография".</w:t>
      </w:r>
    </w:p>
    <w:p>
      <w:pPr>
        <w:pStyle w:val="0"/>
        <w:spacing w:before="200" w:line-rule="auto"/>
        <w:ind w:firstLine="540"/>
        <w:jc w:val="both"/>
      </w:pPr>
      <w:r>
        <w:rPr>
          <w:sz w:val="20"/>
        </w:rPr>
        <w:t xml:space="preserve">В целях создания новых мест в общеобразовательных организациях по федеральному проекту "Современная школа" в полном объеме должно быть предусмотрено финансовое обеспечение строительства новых школ в соответствии с актуальной проектно-сметной документацией, прошедшей государственную экспертизу. Предусматривается ввод в действие общеобразовательных школ более чем на 6,5 тысяч мест. В 2022 году должны быть введены школы на 1100 мест в микрорайоне Коммунар г. Владимира и в г. Коврове, завершена реконструкция школы N 2 на 500 мест в г. Лакинске. В 2023 - 2024 годах планируется строительство школ в городах Гусь-Хрустальном, Вязниках, Суздале, Покрове, Гороховце и в с. Сновицы Суздальского района.</w:t>
      </w:r>
    </w:p>
    <w:p>
      <w:pPr>
        <w:pStyle w:val="0"/>
        <w:spacing w:before="200" w:line-rule="auto"/>
        <w:ind w:firstLine="540"/>
        <w:jc w:val="both"/>
      </w:pPr>
      <w:r>
        <w:rPr>
          <w:sz w:val="20"/>
        </w:rPr>
        <w:t xml:space="preserve">Кроме того, в рамках концессионного соглашения планируется строительство трех школ на 3,3 тысячи мест в городе Владимире - в мкр. Сновицы-Веризино, в мкр. Юрьевец и в районе улиц Мира и Студенческая.</w:t>
      </w:r>
    </w:p>
    <w:p>
      <w:pPr>
        <w:pStyle w:val="0"/>
        <w:spacing w:before="200" w:line-rule="auto"/>
        <w:ind w:firstLine="540"/>
        <w:jc w:val="both"/>
      </w:pPr>
      <w:r>
        <w:rPr>
          <w:sz w:val="20"/>
        </w:rPr>
        <w:t xml:space="preserve">Во исполнение </w:t>
      </w:r>
      <w:hyperlink w:history="0" r:id="rId52" w:tooltip="&quot;Перечень поручений по реализации Послания Президента Федеральному Собранию&quot; (утв. Президентом РФ 02.05.2021 N Пр-753) {КонсультантПлюс}">
        <w:r>
          <w:rPr>
            <w:sz w:val="20"/>
            <w:color w:val="0000ff"/>
          </w:rPr>
          <w:t xml:space="preserve">поручения</w:t>
        </w:r>
      </w:hyperlink>
      <w:r>
        <w:rPr>
          <w:sz w:val="20"/>
        </w:rPr>
        <w:t xml:space="preserve"> Президента Российской Федерации от 2 мая 2021 г. N Пр-753 с 1 сентября 2021 года с учетом федеральной финансовой помощи должна быть установлена выплата ежемесячного вознаграждения за классное руководство в размере не менее 5000 рублей педагогическим работникам - кураторам учебных групп областных колледжей и техникумов с сохранением ранее установленных выплат на эти цели. Будут сохранены введенные с 1 сентября 2020 года такие выплаты педагогам общеобразовательных организаций.</w:t>
      </w:r>
    </w:p>
    <w:p>
      <w:pPr>
        <w:pStyle w:val="0"/>
        <w:spacing w:before="200" w:line-rule="auto"/>
        <w:ind w:firstLine="540"/>
        <w:jc w:val="both"/>
      </w:pPr>
      <w:r>
        <w:rPr>
          <w:sz w:val="20"/>
        </w:rPr>
        <w:t xml:space="preserve">Продолжится работа по организации бесплатного горячего питания обучающихся, получающих начальное общее образование в государственных, муниципальных и частных образовательных организациях.</w:t>
      </w:r>
    </w:p>
    <w:p>
      <w:pPr>
        <w:pStyle w:val="0"/>
        <w:spacing w:before="200" w:line-rule="auto"/>
        <w:ind w:firstLine="540"/>
        <w:jc w:val="both"/>
      </w:pPr>
      <w:r>
        <w:rPr>
          <w:sz w:val="20"/>
        </w:rPr>
        <w:t xml:space="preserve">Планируется реализация мероприятий, гарантирующих сохранение здоровья детей и безопасность участников образовательного процесса, а также по обеспечению технической безопасности зданий и инженерных систем образовательных учреждений. С этой целью должна быть оказана финансовая поддержка местным бюджетам на укрепление материально-технической базы муниципальных школ, детских садов и оздоровительных лагерей.</w:t>
      </w:r>
    </w:p>
    <w:p>
      <w:pPr>
        <w:pStyle w:val="0"/>
        <w:spacing w:before="200" w:line-rule="auto"/>
        <w:ind w:firstLine="540"/>
        <w:jc w:val="both"/>
      </w:pPr>
      <w:r>
        <w:rPr>
          <w:sz w:val="20"/>
        </w:rPr>
        <w:t xml:space="preserve">Как и в предыдущие годы, продолжится работа по развитию детского туризма. Планируется направление детей и подростков в оздоровительные организации области и другие регионы России. Будет обеспечено финансирование проектов, направленных на поддержку лучших муниципальных загородных оздоровительных лагерей по итогам областного конкурса.</w:t>
      </w:r>
    </w:p>
    <w:p>
      <w:pPr>
        <w:pStyle w:val="0"/>
        <w:spacing w:before="200" w:line-rule="auto"/>
        <w:ind w:firstLine="540"/>
        <w:jc w:val="both"/>
      </w:pPr>
      <w:r>
        <w:rPr>
          <w:sz w:val="20"/>
        </w:rPr>
        <w:t xml:space="preserve">Планируется реализация мероприятий, направленных на повышение доступности качественного образования для детей с ограниченными возможностями здоровья, обеспечение социально-психологической реабилитации и абилитации детей-инвалидов.</w:t>
      </w:r>
    </w:p>
    <w:p>
      <w:pPr>
        <w:pStyle w:val="0"/>
        <w:spacing w:before="200" w:line-rule="auto"/>
        <w:ind w:firstLine="540"/>
        <w:jc w:val="both"/>
      </w:pPr>
      <w:r>
        <w:rPr>
          <w:sz w:val="20"/>
        </w:rPr>
        <w:t xml:space="preserve">В трехлетнем периоде необходимо создать современную и безопасную цифровую образовательную среду, обеспечивающую высокое качество и доступность образования всех уровней и внедрение инструментов федеральной цифровой платформы в образовательный процесс, что позволит оснастить более 85% общеобразовательных организаций региона необходимым оборудованием.</w:t>
      </w:r>
    </w:p>
    <w:p>
      <w:pPr>
        <w:pStyle w:val="0"/>
        <w:spacing w:before="200" w:line-rule="auto"/>
        <w:ind w:firstLine="540"/>
        <w:jc w:val="both"/>
      </w:pPr>
      <w:r>
        <w:rPr>
          <w:sz w:val="20"/>
        </w:rPr>
        <w:t xml:space="preserve">Продолжится формирование Центров образования "Точка роста" в школах, расположенных в сельской местности и малых городах, для реализации программ цифрового и гуманитарного профилей, способствующих формированию современных компетенций и навыков у детей. Это обеспечит к концу 2024 года функционирование не менее 91 центра образования естественно-научной и технологической направленности.</w:t>
      </w:r>
    </w:p>
    <w:p>
      <w:pPr>
        <w:pStyle w:val="0"/>
        <w:spacing w:before="200" w:line-rule="auto"/>
        <w:ind w:firstLine="540"/>
        <w:jc w:val="both"/>
      </w:pPr>
      <w:r>
        <w:rPr>
          <w:sz w:val="20"/>
        </w:rPr>
        <w:t xml:space="preserve">К 2024 году должны быть реализованы мероприятия по созданию условий для занятия физической культурой и спортом не менее чем в 90 общеобразовательных организациях, расположенных в сельской местности и малых городах.</w:t>
      </w:r>
    </w:p>
    <w:p>
      <w:pPr>
        <w:pStyle w:val="0"/>
        <w:spacing w:before="200" w:line-rule="auto"/>
        <w:ind w:firstLine="540"/>
        <w:jc w:val="both"/>
      </w:pPr>
      <w:r>
        <w:rPr>
          <w:sz w:val="20"/>
        </w:rPr>
        <w:t xml:space="preserve">Планируется обновление парка школьных автобусов для организации подвоза учащихся школ, расположенных в сельской местности, в том числе за счет федеральной централизованной поставки, обеспечить которую поручено Президентом Российской Федерации в послании Федеральному Собранию от 21 апреля 2021 года.</w:t>
      </w:r>
    </w:p>
    <w:p>
      <w:pPr>
        <w:pStyle w:val="0"/>
        <w:spacing w:before="200" w:line-rule="auto"/>
        <w:ind w:firstLine="540"/>
        <w:jc w:val="both"/>
      </w:pPr>
      <w:r>
        <w:rPr>
          <w:sz w:val="20"/>
        </w:rPr>
        <w:t xml:space="preserve">В целях выявления, поддержки и развития способностей у талантливых детей и молодежи, создания конкурентной среды и повышения доступности и качества дополнительного образования детей, в том числе с использованием системы дистанционного обучения, продолжится развитие новых направлений дополнительного образования детей на базе детского технопарка "Кванториум", Центра поддержки одаренных детей. Для детей, проживающих в сельской местности и малых городах, будут функционировать две единицы мобильного технопарка "Кванториум", что позволит увеличить долю детей, обучающихся по программам естественнонаучной и технической направленности.</w:t>
      </w:r>
    </w:p>
    <w:p>
      <w:pPr>
        <w:pStyle w:val="0"/>
        <w:spacing w:before="200" w:line-rule="auto"/>
        <w:ind w:firstLine="540"/>
        <w:jc w:val="both"/>
      </w:pPr>
      <w:r>
        <w:rPr>
          <w:sz w:val="20"/>
        </w:rPr>
        <w:t xml:space="preserve">Кроме того, в трехлетнем периоде планируется создание 3 детских технопарков "Кванториум" на базе трех муниципальных школ.</w:t>
      </w:r>
    </w:p>
    <w:p>
      <w:pPr>
        <w:pStyle w:val="0"/>
        <w:spacing w:before="200" w:line-rule="auto"/>
        <w:ind w:firstLine="540"/>
        <w:jc w:val="both"/>
      </w:pPr>
      <w:r>
        <w:rPr>
          <w:sz w:val="20"/>
        </w:rPr>
        <w:t xml:space="preserve">В сфере профессионального образования продолжится комплексная поддержка подготовки высококвалифицированных кадров по перспективным профессиям на уровне, соответствующем лучшим мировым стандартам и практикам, в том числе стандартам "Ворлдскиллс", с учетом современных стандартов и передовых технологий.</w:t>
      </w:r>
    </w:p>
    <w:p>
      <w:pPr>
        <w:pStyle w:val="0"/>
        <w:spacing w:before="200" w:line-rule="auto"/>
        <w:ind w:firstLine="540"/>
        <w:jc w:val="both"/>
      </w:pPr>
      <w:r>
        <w:rPr>
          <w:sz w:val="20"/>
        </w:rPr>
        <w:t xml:space="preserve">Сохранятся предусмотренные областным законодательством меры социальной поддержки работников системы образования, включая программы ипотечного кредитования учителей.</w:t>
      </w:r>
    </w:p>
    <w:p>
      <w:pPr>
        <w:pStyle w:val="0"/>
        <w:spacing w:before="200" w:line-rule="auto"/>
        <w:ind w:firstLine="540"/>
        <w:jc w:val="both"/>
      </w:pPr>
      <w:r>
        <w:rPr>
          <w:sz w:val="20"/>
        </w:rPr>
        <w:t xml:space="preserve">В целях стимулирования молодых специалистов и опытных учителей к переезду в сельскую местность и малые города, должен быть проработан вопрос по продолжению участия региона в реализации программы "Земский учитель" с привлечением софинансирования из федерального бюджета на указанные цели.</w:t>
      </w:r>
    </w:p>
    <w:p>
      <w:pPr>
        <w:pStyle w:val="0"/>
        <w:spacing w:before="200" w:line-rule="auto"/>
        <w:ind w:firstLine="540"/>
        <w:jc w:val="both"/>
      </w:pPr>
      <w:r>
        <w:rPr>
          <w:sz w:val="20"/>
        </w:rPr>
        <w:t xml:space="preserve">В предстоящем периоде бюджетная политика в здравоохранении будет направлена на обеспечение доступности и качества медицинской помощи.</w:t>
      </w:r>
    </w:p>
    <w:p>
      <w:pPr>
        <w:pStyle w:val="0"/>
        <w:spacing w:before="200" w:line-rule="auto"/>
        <w:ind w:firstLine="540"/>
        <w:jc w:val="both"/>
      </w:pPr>
      <w:r>
        <w:rPr>
          <w:sz w:val="20"/>
        </w:rPr>
        <w:t xml:space="preserve">Решение поставленных задач будет осуществляться в рамках национального проекта "Здравоохранение" и региональной программы модернизации первичного звена здравоохранения.</w:t>
      </w:r>
    </w:p>
    <w:p>
      <w:pPr>
        <w:pStyle w:val="0"/>
        <w:spacing w:before="200" w:line-rule="auto"/>
        <w:ind w:firstLine="540"/>
        <w:jc w:val="both"/>
      </w:pPr>
      <w:r>
        <w:rPr>
          <w:sz w:val="20"/>
        </w:rPr>
        <w:t xml:space="preserve">В целях повышения доступности первичной медико-санитарной помощи предусмотрены бюджетные ассигнования на капитальный ремонт медицинских организаций, приобретение современного оборудования и автомобильного транспорта, а также на строительство (с реконструкцией) объектов здравоохранения. Новые поликлиники появятся в городах Муроме, Суздале, Собинке, Кольчугино, Струнино и мкр. Заклязьменский г. Владимира. Продолжится строительство сельских фельдшерско-акушерских пунктов и амбулаторий.</w:t>
      </w:r>
    </w:p>
    <w:p>
      <w:pPr>
        <w:pStyle w:val="0"/>
        <w:spacing w:before="200" w:line-rule="auto"/>
        <w:ind w:firstLine="540"/>
        <w:jc w:val="both"/>
      </w:pPr>
      <w:r>
        <w:rPr>
          <w:sz w:val="20"/>
        </w:rPr>
        <w:t xml:space="preserve">С привлечением средств из федерального бюджета планируется строительство инфекционного корпуса на территории областной детской клинической больницы в г. Владимире.</w:t>
      </w:r>
    </w:p>
    <w:p>
      <w:pPr>
        <w:pStyle w:val="0"/>
        <w:spacing w:before="200" w:line-rule="auto"/>
        <w:ind w:firstLine="540"/>
        <w:jc w:val="both"/>
      </w:pPr>
      <w:r>
        <w:rPr>
          <w:sz w:val="20"/>
        </w:rPr>
        <w:t xml:space="preserve">После разработки и прохождения государственной экспертизы проектной документации будут выделены средства на строительство двух подстанций скорой медицинской помощи в г. Владимире.</w:t>
      </w:r>
    </w:p>
    <w:p>
      <w:pPr>
        <w:pStyle w:val="0"/>
        <w:spacing w:before="200" w:line-rule="auto"/>
        <w:ind w:firstLine="540"/>
        <w:jc w:val="both"/>
      </w:pPr>
      <w:r>
        <w:rPr>
          <w:sz w:val="20"/>
        </w:rPr>
        <w:t xml:space="preserve">Продолжится оснащение полным спектром оборудования регионального сосудистого центра и первичных сосудистых отделений, а также областного онкологического диспансера для комплексной и быстрой диагностики заболеваний.</w:t>
      </w:r>
    </w:p>
    <w:p>
      <w:pPr>
        <w:pStyle w:val="0"/>
        <w:spacing w:before="200" w:line-rule="auto"/>
        <w:ind w:firstLine="540"/>
        <w:jc w:val="both"/>
      </w:pPr>
      <w:r>
        <w:rPr>
          <w:sz w:val="20"/>
        </w:rPr>
        <w:t xml:space="preserve">Организация экстренной медицинской помощи гражданам будет осуществляться с использованием санитарной авиации. В соответствии с </w:t>
      </w:r>
      <w:hyperlink w:history="0" r:id="rId53" w:tooltip="&quot;Перечень поручений по реализации Послания Президента Федеральному Собранию&quot; (утв. Президентом РФ 02.05.2021 N Пр-753) {КонсультантПлюс}">
        <w:r>
          <w:rPr>
            <w:sz w:val="20"/>
            <w:color w:val="0000ff"/>
          </w:rPr>
          <w:t xml:space="preserve">поручением</w:t>
        </w:r>
      </w:hyperlink>
      <w:r>
        <w:rPr>
          <w:sz w:val="20"/>
        </w:rPr>
        <w:t xml:space="preserve"> Президента Российской Федерации от 2 мая 2021 г. N Пр-753 за счет централизованной поставки из федерального бюджета в 2022 - 2023 годах планируется обновление парка автомобилей скорой медицинской помощи и мобильных медицинских комплексов для оказания медицинской помощи жителям сельских поселений и малых городов.</w:t>
      </w:r>
    </w:p>
    <w:p>
      <w:pPr>
        <w:pStyle w:val="0"/>
        <w:spacing w:before="200" w:line-rule="auto"/>
        <w:ind w:firstLine="540"/>
        <w:jc w:val="both"/>
      </w:pPr>
      <w:r>
        <w:rPr>
          <w:sz w:val="20"/>
        </w:rPr>
        <w:t xml:space="preserve">По сравнению с утвержденными показателями на 2022 - 2023 годы предусмотрены дополнительные расходы на укрепление материально-технической базы областных учреждений здравоохранения в сумме 1470,4 млн. рублей.</w:t>
      </w:r>
    </w:p>
    <w:p>
      <w:pPr>
        <w:pStyle w:val="0"/>
        <w:spacing w:before="200" w:line-rule="auto"/>
        <w:ind w:firstLine="540"/>
        <w:jc w:val="both"/>
      </w:pPr>
      <w:r>
        <w:rPr>
          <w:sz w:val="20"/>
        </w:rPr>
        <w:t xml:space="preserve">В рамках дополнительных мер по противодействию болезням, которые являются основными причинами преждевременной смертности (сердечно-сосудистые заболевания, злокачественные новообразования, болезни органов дыхания), планируется расширить программы диспансеризации и профилактических осмотров для людей всех возрастов, а также медицинского обследования граждан, перенесших новую коронавирусную инфекцию.</w:t>
      </w:r>
    </w:p>
    <w:p>
      <w:pPr>
        <w:pStyle w:val="0"/>
        <w:spacing w:before="200" w:line-rule="auto"/>
        <w:ind w:firstLine="540"/>
        <w:jc w:val="both"/>
      </w:pPr>
      <w:r>
        <w:rPr>
          <w:sz w:val="20"/>
        </w:rPr>
        <w:t xml:space="preserve">Дальнейшее развитие получит паллиативная медицинская помощь, в том числе за счет увеличения патронажных служб и посещений пациентов на дому, организации услуг по уходу за больными, укрепления материально-технической базы структурных подразделений медицинских организаций, оказывающих паллиативную медицинскую помощь.</w:t>
      </w:r>
    </w:p>
    <w:p>
      <w:pPr>
        <w:pStyle w:val="0"/>
        <w:spacing w:before="200" w:line-rule="auto"/>
        <w:ind w:firstLine="540"/>
        <w:jc w:val="both"/>
      </w:pPr>
      <w:r>
        <w:rPr>
          <w:sz w:val="20"/>
        </w:rPr>
        <w:t xml:space="preserve">Планируется ускорить внедрение телемедицины, искусственного интеллекта, новых подходов в диагностике, в проведении операций и реабилитации.</w:t>
      </w:r>
    </w:p>
    <w:p>
      <w:pPr>
        <w:pStyle w:val="0"/>
        <w:spacing w:before="200" w:line-rule="auto"/>
        <w:ind w:firstLine="540"/>
        <w:jc w:val="both"/>
      </w:pPr>
      <w:r>
        <w:rPr>
          <w:sz w:val="20"/>
        </w:rPr>
        <w:t xml:space="preserve">В целях снижения заболеваемости, инвалидности и смертности населения при социально значимых и редких заболеваниях, приоритетным направлением расходов остается лекарственное обеспечение льготных категорий граждан. Во исполнение </w:t>
      </w:r>
      <w:hyperlink w:history="0" r:id="rId54" w:tooltip="&quot;Перечень поручений по итогам обращения Президента к гражданам России&quot; (утв. Президентом РФ 08.07.2020 N Пр-1081) {КонсультантПлюс}">
        <w:r>
          <w:rPr>
            <w:sz w:val="20"/>
            <w:color w:val="0000ff"/>
          </w:rPr>
          <w:t xml:space="preserve">поручения</w:t>
        </w:r>
      </w:hyperlink>
      <w:r>
        <w:rPr>
          <w:sz w:val="20"/>
        </w:rPr>
        <w:t xml:space="preserve"> Президента Российской Федерации от 8 июля 2020 г. N Пр-1081 в трехлетнем периоде не допущено снижение расходов областного бюджета на обеспечение граждан лекарственными препаратами для лечения редких (орфанных) заболеваний, включая приобретение дорогостоящих лекарственных препаратов для детей с тяжелыми жизнеугрожающими и хроническими заболеваниями.</w:t>
      </w:r>
    </w:p>
    <w:p>
      <w:pPr>
        <w:pStyle w:val="0"/>
        <w:spacing w:before="200" w:line-rule="auto"/>
        <w:ind w:firstLine="540"/>
        <w:jc w:val="both"/>
      </w:pPr>
      <w:r>
        <w:rPr>
          <w:sz w:val="20"/>
        </w:rPr>
        <w:t xml:space="preserve">Для привлечения кадров в здравоохранение продолжится реализация комплекса мер социальной поддержки медицинских работников, в том числе сохранятся единовременные выплаты врачам и среднему медицинскому персоналу выездных бригад скорой медицинской помощи в размере 2 млн. рублей и 1 млн. рублей соответственно.</w:t>
      </w:r>
    </w:p>
    <w:p>
      <w:pPr>
        <w:pStyle w:val="0"/>
        <w:spacing w:before="200" w:line-rule="auto"/>
        <w:ind w:firstLine="540"/>
        <w:jc w:val="both"/>
      </w:pPr>
      <w:r>
        <w:rPr>
          <w:sz w:val="20"/>
        </w:rPr>
        <w:t xml:space="preserve">Одним из ключевых приоритетов социальной политики является поддержка семей с детьми, которые находятся в трудной жизненной ситуации. Необходимо свести к минимуму угрозу бедности для таких семей.</w:t>
      </w:r>
    </w:p>
    <w:p>
      <w:pPr>
        <w:pStyle w:val="0"/>
        <w:spacing w:before="200" w:line-rule="auto"/>
        <w:ind w:firstLine="540"/>
        <w:jc w:val="both"/>
      </w:pPr>
      <w:r>
        <w:rPr>
          <w:sz w:val="20"/>
        </w:rPr>
        <w:t xml:space="preserve">В 2022 - 2024 годах наиболее важными из мер остаются осуществление ежемесячной выплаты в связи с рождением (усыновлением) первого ребенка, выплаты на третьего или последующих детей до достижения ребенком возраста трех лет, предоставление областного материнского (семейного) капитала.</w:t>
      </w:r>
    </w:p>
    <w:p>
      <w:pPr>
        <w:pStyle w:val="0"/>
        <w:spacing w:before="200" w:line-rule="auto"/>
        <w:ind w:firstLine="540"/>
        <w:jc w:val="both"/>
      </w:pPr>
      <w:r>
        <w:rPr>
          <w:sz w:val="20"/>
        </w:rPr>
        <w:t xml:space="preserve">В связи с изменением федерального и областного законодательства по расчету величины прожиточного минимума на душу населения и по основным социально-демографическим группам, с 2021 года выплата на третьего ребенка или последующих детей до достижения ребенком возраста трех лет устанавливается в размере величины прожиточного минимума для детей по региону. На 2021 год размер данной выплаты по Владимирской области составил 11294 рубля, что в 1,2 раза превышает уровень 2020 года (9246 рублей).</w:t>
      </w:r>
    </w:p>
    <w:p>
      <w:pPr>
        <w:pStyle w:val="0"/>
        <w:spacing w:before="200" w:line-rule="auto"/>
        <w:ind w:firstLine="540"/>
        <w:jc w:val="both"/>
      </w:pPr>
      <w:r>
        <w:rPr>
          <w:sz w:val="20"/>
        </w:rPr>
        <w:t xml:space="preserve">Продолжится предоставление выплат на детей от трех до семи лет включительно с учетом трехступенчатой системы определения размера выплаты - 50%, 75% и 100% от регионального прожиточного минимума на ребенка в целях обеспечения доходов семьи в размере не менее одного прожиточного минимума на каждого члена семьи.</w:t>
      </w:r>
    </w:p>
    <w:p>
      <w:pPr>
        <w:pStyle w:val="0"/>
        <w:spacing w:before="200" w:line-rule="auto"/>
        <w:ind w:firstLine="540"/>
        <w:jc w:val="both"/>
      </w:pPr>
      <w:r>
        <w:rPr>
          <w:sz w:val="20"/>
        </w:rPr>
        <w:t xml:space="preserve">Расчет величины прожиточного минимума региона на душу населения, в том числе по основным социально-демографическим группам, применяемого для назначения и расчета размера социальных выплат на детей, должен осуществляться в соответствии с Федеральным </w:t>
      </w:r>
      <w:hyperlink w:history="0" r:id="rId55" w:tooltip="Федеральный закон от 29.12.2020 N 473-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29 декабря 2020 г. N 473-ФЗ "О внесении изменений в отдельные законодательные акты Российской Федерации", вступившим в силу с 1 января 2021 года.</w:t>
      </w:r>
    </w:p>
    <w:p>
      <w:pPr>
        <w:pStyle w:val="0"/>
        <w:spacing w:before="200" w:line-rule="auto"/>
        <w:ind w:firstLine="540"/>
        <w:jc w:val="both"/>
      </w:pPr>
      <w:r>
        <w:rPr>
          <w:sz w:val="20"/>
        </w:rPr>
        <w:t xml:space="preserve">Во исполнение </w:t>
      </w:r>
      <w:hyperlink w:history="0" r:id="rId56" w:tooltip="&quot;Перечень поручений по реализации Послания Президента Федеральному Собранию&quot; (утв. Президентом РФ 02.05.2021 N Пр-753) {КонсультантПлюс}">
        <w:r>
          <w:rPr>
            <w:sz w:val="20"/>
            <w:color w:val="0000ff"/>
          </w:rPr>
          <w:t xml:space="preserve">поручения</w:t>
        </w:r>
      </w:hyperlink>
      <w:r>
        <w:rPr>
          <w:sz w:val="20"/>
        </w:rPr>
        <w:t xml:space="preserve"> Президента Российской Федерации от 2 мая 2021 г. N Пр-753 Правительством Российской Федерации к 1 июля 2021 года будет подготовлена целостная система мер поддержки семей с детьми, реализация которой потребует углубленного анализа эффективности действующих в регионе мер социальной поддержки, перехода к большей адресности и предоставления поддержки именно тем гражданам, которые действительно в ней нуждаются. В ближайшей перспективе планируется предоставлять социальные пособия в рамках социального казначейства, без сбора справок и посещения гражданами органов социальной защиты.</w:t>
      </w:r>
    </w:p>
    <w:p>
      <w:pPr>
        <w:pStyle w:val="0"/>
        <w:spacing w:before="200" w:line-rule="auto"/>
        <w:ind w:firstLine="540"/>
        <w:jc w:val="both"/>
      </w:pPr>
      <w:r>
        <w:rPr>
          <w:sz w:val="20"/>
        </w:rPr>
        <w:t xml:space="preserve">В полном объеме будут финансово обеспечены установленные областным законодательством меры социальной поддержки населения, "детей войны", сохранятся в приоритете расходы на обеспечение жильем детей-сирот.</w:t>
      </w:r>
    </w:p>
    <w:p>
      <w:pPr>
        <w:pStyle w:val="0"/>
        <w:spacing w:before="200" w:line-rule="auto"/>
        <w:ind w:firstLine="540"/>
        <w:jc w:val="both"/>
      </w:pPr>
      <w:r>
        <w:rPr>
          <w:sz w:val="20"/>
        </w:rPr>
        <w:t xml:space="preserve">Модернизация и развитие сектора социальных услуг должна осуществляться путем укрепления материально-технической базы организаций социального обслуживания, проведения мероприятий по созданию "безбарьерной" среды для лиц с ограниченными возможностями. В рамках комплексной противопожарной безопасности Минтрудом России подготовлена Модель лицензирования стационарных учреждений. Соответствующие изменения в федеральное законодательство планируются с 2022 года. Будет продолжено привлечение к предоставлению социальных услуг некоммерческих организаций, а также использование стационарозамещающих технологий социального обслуживания граждан (приемная семья, персональный помощник, опекун недееспособного гражданина).</w:t>
      </w:r>
    </w:p>
    <w:p>
      <w:pPr>
        <w:pStyle w:val="0"/>
        <w:spacing w:before="200" w:line-rule="auto"/>
        <w:ind w:firstLine="540"/>
        <w:jc w:val="both"/>
      </w:pPr>
      <w:r>
        <w:rPr>
          <w:sz w:val="20"/>
        </w:rPr>
        <w:t xml:space="preserve">В трехлетнем периоде планируется завершение строительства жилого корпуса на 130 мест для проживания пожилых людей и инвалидов в пос. Гусевский.</w:t>
      </w:r>
    </w:p>
    <w:p>
      <w:pPr>
        <w:pStyle w:val="0"/>
        <w:spacing w:before="200" w:line-rule="auto"/>
        <w:ind w:firstLine="540"/>
        <w:jc w:val="both"/>
      </w:pPr>
      <w:r>
        <w:rPr>
          <w:sz w:val="20"/>
        </w:rPr>
        <w:t xml:space="preserve">С 2022 года начнется строительство "Социального городка" для нужд пожилых граждан и инвалидов на 200 мест в г. Киржаче. Материально-техническая база нового учреждения будет использована для организации дневной занятости по интересам, реабилитации, социализации и досуга всех жителей района: молодых инвалидов, маломобильных граждан, в том числе колясочников, семей с детьми.</w:t>
      </w:r>
    </w:p>
    <w:p>
      <w:pPr>
        <w:pStyle w:val="0"/>
        <w:spacing w:before="200" w:line-rule="auto"/>
        <w:ind w:firstLine="540"/>
        <w:jc w:val="both"/>
      </w:pPr>
      <w:r>
        <w:rPr>
          <w:sz w:val="20"/>
        </w:rPr>
        <w:t xml:space="preserve">После разработки проектной документации и получения положительного заключения экспертизы должно быть предусмотрено строительство пансионата для пожилых граждан на 150 мест в г. Юрьев-Польском.</w:t>
      </w:r>
    </w:p>
    <w:p>
      <w:pPr>
        <w:pStyle w:val="0"/>
        <w:spacing w:before="200" w:line-rule="auto"/>
        <w:ind w:firstLine="540"/>
        <w:jc w:val="both"/>
      </w:pPr>
      <w:r>
        <w:rPr>
          <w:sz w:val="20"/>
        </w:rPr>
        <w:t xml:space="preserve">В сфере физической культуры и спорта продолжится реализация федерального проекта "Спорт - норма жизни" национального проекта "Демография", направленного на доведение к 2024 году до 55% доли населения, систематически занимающегося физической культурой и спортом.</w:t>
      </w:r>
    </w:p>
    <w:p>
      <w:pPr>
        <w:pStyle w:val="0"/>
        <w:spacing w:before="200" w:line-rule="auto"/>
        <w:ind w:firstLine="540"/>
        <w:jc w:val="both"/>
      </w:pPr>
      <w:r>
        <w:rPr>
          <w:sz w:val="20"/>
        </w:rPr>
        <w:t xml:space="preserve">Во исполнение поручения Президента Российской Федерации от 11 июня 2017 г. N Пр-1121 увеличены бюджетные ассигнования в части реализации программ спортивной подготовки в областных и муниципальных учреждениях спорта в соответствии с требованиями федеральных стандартов. Будет оказана финансовая поддержка местным бюджетам на развитие базовых и олимпийских видов спорта, а также на частичное содержание объектов спортивной инфраструктуры муниципальной собственности. К 2024 году во всех муниципальных районах при центрах тестирования ГТО должны быть созданы и оснащены оборудованием малые спортивные площадки.</w:t>
      </w:r>
    </w:p>
    <w:p>
      <w:pPr>
        <w:pStyle w:val="0"/>
        <w:spacing w:before="200" w:line-rule="auto"/>
        <w:ind w:firstLine="540"/>
        <w:jc w:val="both"/>
      </w:pPr>
      <w:r>
        <w:rPr>
          <w:sz w:val="20"/>
        </w:rPr>
        <w:t xml:space="preserve">Будет обеспечено развитие инфраструктуры физической культуры и спорта, в том числе для лиц с ограниченными возможностями здоровья и инвалидов.</w:t>
      </w:r>
    </w:p>
    <w:p>
      <w:pPr>
        <w:pStyle w:val="0"/>
        <w:spacing w:before="200" w:line-rule="auto"/>
        <w:ind w:firstLine="540"/>
        <w:jc w:val="both"/>
      </w:pPr>
      <w:r>
        <w:rPr>
          <w:sz w:val="20"/>
        </w:rPr>
        <w:t xml:space="preserve">В трехлетнем периоде должно быть завершено строительство многофункционального спортивного центра в г. Коврове, конькобежной дорожки открытого типа с искусственным льдом в окр. Муром, лыжероллерной трассы в г. Александрове, крытого катка с искусственным льдом в г. Вязники, а также реконструкция стадиона в пос. Красная Горбатка Селивановского района.</w:t>
      </w:r>
    </w:p>
    <w:p>
      <w:pPr>
        <w:pStyle w:val="0"/>
        <w:spacing w:before="200" w:line-rule="auto"/>
        <w:ind w:firstLine="540"/>
        <w:jc w:val="both"/>
      </w:pPr>
      <w:r>
        <w:rPr>
          <w:sz w:val="20"/>
        </w:rPr>
        <w:t xml:space="preserve">Планируется проведение массовых и спортивных мероприятий для всех групп населения согласно календарному плану физкультурно-оздоровительных и спортивных мероприятий. Будет оказана поддержка социально ориентированным некоммерческим организациям "Футбольный клуб "Торпедо-Владимир" и "Мотобольный клуб "Ковровец".</w:t>
      </w:r>
    </w:p>
    <w:p>
      <w:pPr>
        <w:pStyle w:val="0"/>
        <w:spacing w:before="200" w:line-rule="auto"/>
        <w:ind w:firstLine="540"/>
        <w:jc w:val="both"/>
      </w:pPr>
      <w:r>
        <w:rPr>
          <w:sz w:val="20"/>
        </w:rPr>
        <w:t xml:space="preserve">Продолжится подготовка спортсменов к участию в мероприятиях по олимпийским, паралимпийским и сурдлимпийским видам спорта. Для поощрения высоких результатов в сфере физической культуры и спорта предусмотрены выплаты персональных стипендий и премий спортсменам Владимирской области и их тренерам.</w:t>
      </w:r>
    </w:p>
    <w:p>
      <w:pPr>
        <w:pStyle w:val="0"/>
        <w:spacing w:before="200" w:line-rule="auto"/>
        <w:ind w:firstLine="540"/>
        <w:jc w:val="both"/>
      </w:pPr>
      <w:r>
        <w:rPr>
          <w:sz w:val="20"/>
        </w:rPr>
        <w:t xml:space="preserve">Предусмотрены бюджетные ассигнования на адресную финансовую поддержку спортивным организациям, осуществляющим подготовку спортивного резерва для сборных команд Российской Федерации.</w:t>
      </w:r>
    </w:p>
    <w:p>
      <w:pPr>
        <w:pStyle w:val="0"/>
        <w:spacing w:before="200" w:line-rule="auto"/>
        <w:ind w:firstLine="540"/>
        <w:jc w:val="both"/>
      </w:pPr>
      <w:r>
        <w:rPr>
          <w:sz w:val="20"/>
        </w:rPr>
        <w:t xml:space="preserve">В сфере культуры бюджетная политика будет направлена на решение следующих основных задач:</w:t>
      </w:r>
    </w:p>
    <w:p>
      <w:pPr>
        <w:pStyle w:val="0"/>
        <w:spacing w:before="200" w:line-rule="auto"/>
        <w:ind w:firstLine="540"/>
        <w:jc w:val="both"/>
      </w:pPr>
      <w:r>
        <w:rPr>
          <w:sz w:val="20"/>
        </w:rPr>
        <w:t xml:space="preserve">- укрепление материально-технической базы областных и муниципальных учреждений культуры;</w:t>
      </w:r>
    </w:p>
    <w:p>
      <w:pPr>
        <w:pStyle w:val="0"/>
        <w:spacing w:before="200" w:line-rule="auto"/>
        <w:ind w:firstLine="540"/>
        <w:jc w:val="both"/>
      </w:pPr>
      <w:r>
        <w:rPr>
          <w:sz w:val="20"/>
        </w:rPr>
        <w:t xml:space="preserve">- сохранение культурного наследия народов Российской Федерации;</w:t>
      </w:r>
    </w:p>
    <w:p>
      <w:pPr>
        <w:pStyle w:val="0"/>
        <w:spacing w:before="200" w:line-rule="auto"/>
        <w:ind w:firstLine="540"/>
        <w:jc w:val="both"/>
      </w:pPr>
      <w:r>
        <w:rPr>
          <w:sz w:val="20"/>
        </w:rPr>
        <w:t xml:space="preserve">- продвижение талантливой молодежи в сфере музыкального искусства.</w:t>
      </w:r>
    </w:p>
    <w:p>
      <w:pPr>
        <w:pStyle w:val="0"/>
        <w:spacing w:before="200" w:line-rule="auto"/>
        <w:ind w:firstLine="540"/>
        <w:jc w:val="both"/>
      </w:pPr>
      <w:r>
        <w:rPr>
          <w:sz w:val="20"/>
        </w:rPr>
        <w:t xml:space="preserve">В рамках национального проекта "Культура" планируется поддержка местных бюджетов по укреплению материально-технической базы муниципальных учреждений культуры, в том числе по созданию и модернизации учреждений культурно-досугового типа в сельской местности. Предусматривается обеспечение учреждений культуры специализированным автотранспортом для обслуживания населения, в том числе сельского населения.</w:t>
      </w:r>
    </w:p>
    <w:p>
      <w:pPr>
        <w:pStyle w:val="0"/>
        <w:spacing w:before="200" w:line-rule="auto"/>
        <w:ind w:firstLine="540"/>
        <w:jc w:val="both"/>
      </w:pPr>
      <w:r>
        <w:rPr>
          <w:sz w:val="20"/>
        </w:rPr>
        <w:t xml:space="preserve">Кроме того, во исполнение </w:t>
      </w:r>
      <w:hyperlink w:history="0" r:id="rId57" w:tooltip="&quot;Перечень поручений по реализации Послания Президента Федеральному Собранию&quot; (утв. Президентом РФ 02.05.2021 N Пр-753) {КонсультантПлюс}">
        <w:r>
          <w:rPr>
            <w:sz w:val="20"/>
            <w:color w:val="0000ff"/>
          </w:rPr>
          <w:t xml:space="preserve">поручения</w:t>
        </w:r>
      </w:hyperlink>
      <w:r>
        <w:rPr>
          <w:sz w:val="20"/>
        </w:rPr>
        <w:t xml:space="preserve"> Президента Российской Федерации от 2 мая 2021 г. N Пр-753 на федеральном уровне решен вопрос о выделении дополнительных средств бюджетам субъектов Российской Федерации на строительство, реконструкцию и капитальный ремонт сельских домов культуры, модернизацию библиотек, включая создание модельных библиотек, реконструкцию, капитальный ремонт и оснащение детских театров и муниципальных музеев. В связи с этим должна быть проработана возможность привлечения средств из федерального бюджета на эти цели и обеспечено в требуемом объеме участие областного бюджета.</w:t>
      </w:r>
    </w:p>
    <w:p>
      <w:pPr>
        <w:pStyle w:val="0"/>
        <w:spacing w:before="200" w:line-rule="auto"/>
        <w:ind w:firstLine="540"/>
        <w:jc w:val="both"/>
      </w:pPr>
      <w:r>
        <w:rPr>
          <w:sz w:val="20"/>
        </w:rPr>
        <w:t xml:space="preserve">В соответствии с посланием Президента Российской Федерации Федеральному Собранию Российской Федерации от 15 января 2020 года будет продолжена модернизация муниципальных детских школ искусств в части проведения реконструкции и капитального ремонта. В детские музыкальные школы и школы искусств поступят музыкальные инструменты, оборудование и учебные материалы.</w:t>
      </w:r>
    </w:p>
    <w:p>
      <w:pPr>
        <w:pStyle w:val="0"/>
        <w:spacing w:before="200" w:line-rule="auto"/>
        <w:ind w:firstLine="540"/>
        <w:jc w:val="both"/>
      </w:pPr>
      <w:r>
        <w:rPr>
          <w:sz w:val="20"/>
        </w:rPr>
        <w:t xml:space="preserve">Продолжатся мероприятия по реконструкции и реставрации памятников истории и культуры Владимирской области.</w:t>
      </w:r>
    </w:p>
    <w:p>
      <w:pPr>
        <w:pStyle w:val="0"/>
        <w:spacing w:before="200" w:line-rule="auto"/>
        <w:ind w:firstLine="540"/>
        <w:jc w:val="both"/>
      </w:pPr>
      <w:r>
        <w:rPr>
          <w:sz w:val="20"/>
        </w:rPr>
        <w:t xml:space="preserve">Планируются расходы на проведение ремонтов и оснащение оборудованием государственных учреждений культуры, на поддержку творческой деятельности и техническое оснащение областного театра кукол, развитие библиотечного дела, проведение музыкальных и театральных фестивалей, будут организованы выставочные проекты региональных музеев.</w:t>
      </w:r>
    </w:p>
    <w:p>
      <w:pPr>
        <w:pStyle w:val="0"/>
        <w:spacing w:before="200" w:line-rule="auto"/>
        <w:ind w:firstLine="540"/>
        <w:jc w:val="both"/>
      </w:pPr>
      <w:r>
        <w:rPr>
          <w:sz w:val="20"/>
        </w:rPr>
        <w:t xml:space="preserve">В предстоящей трехлетке необходимо провести реконструкцию Владимирского академического областного драматического театра. Для этого потребуется проработать с Минкультуры России вопрос оказания финансовой помощи из федерального бюджета и обеспечить в необходимом объеме средства областного бюджета. В 2021 году начаты работы по проектированию и получению положительного заключения государственной экспертизы по реконструкции объекта.</w:t>
      </w:r>
    </w:p>
    <w:p>
      <w:pPr>
        <w:pStyle w:val="0"/>
        <w:spacing w:before="200" w:line-rule="auto"/>
        <w:ind w:firstLine="540"/>
        <w:jc w:val="both"/>
      </w:pPr>
      <w:r>
        <w:rPr>
          <w:sz w:val="20"/>
        </w:rPr>
        <w:t xml:space="preserve">Предусматриваются гранты на поддержку любительских творческих коллективов, реализацию творческих проектов на селе в сфере культуры и социально ориентированным некоммерческим организациям. Будет оказана поддержка 11 лучшим сельским учреждениям культуры и 9 лучшим работникам.</w:t>
      </w:r>
    </w:p>
    <w:p>
      <w:pPr>
        <w:pStyle w:val="0"/>
        <w:spacing w:before="200" w:line-rule="auto"/>
        <w:ind w:firstLine="540"/>
        <w:jc w:val="both"/>
      </w:pPr>
      <w:r>
        <w:rPr>
          <w:sz w:val="20"/>
        </w:rPr>
        <w:t xml:space="preserve">Продолжатся мероприятия по укреплению гражданского единства, гармонизации межнациональных отношений, по развитию добровольчества и волонтерства.</w:t>
      </w:r>
    </w:p>
    <w:p>
      <w:pPr>
        <w:pStyle w:val="0"/>
        <w:spacing w:before="200" w:line-rule="auto"/>
        <w:ind w:firstLine="540"/>
        <w:jc w:val="both"/>
      </w:pPr>
      <w:r>
        <w:rPr>
          <w:sz w:val="20"/>
        </w:rPr>
        <w:t xml:space="preserve">Обеспечено предоставление мер социальной поддержки по оплате за содержание и ремонт жилья, услуг теплоснабжения (отопления) и электроснабжения работникам культуры и педагогическим работникам образовательных организаций дополнительного образования детей в сфере культуры. Предусмотрена социальная поддержка работников областных и муниципальных организаций культуры при ипотечном жилищном кредитовании.</w:t>
      </w:r>
    </w:p>
    <w:p>
      <w:pPr>
        <w:pStyle w:val="0"/>
        <w:spacing w:before="200" w:line-rule="auto"/>
        <w:ind w:firstLine="540"/>
        <w:jc w:val="both"/>
      </w:pPr>
      <w:r>
        <w:rPr>
          <w:sz w:val="20"/>
        </w:rPr>
        <w:t xml:space="preserve">В соответствии с Указом Президента Российской Федерации от 29 января 2015 г. N 37 "О праздновании 1000-летия основания г. Суздаля Владимирской области" продолжится подготовка к празднованию в 2024 году 1000-летия основания г. Суздаля.</w:t>
      </w:r>
    </w:p>
    <w:p>
      <w:pPr>
        <w:pStyle w:val="0"/>
        <w:spacing w:before="200" w:line-rule="auto"/>
        <w:ind w:firstLine="540"/>
        <w:jc w:val="both"/>
      </w:pPr>
      <w:r>
        <w:rPr>
          <w:sz w:val="20"/>
        </w:rPr>
        <w:t xml:space="preserve">В сфере поддержки реального сектора экономики основной акцент сделан на выполнение задач национальных проектов. Это реализация проектов в сфере дорожного и сельского хозяйства, малого и среднего бизнеса; обеспечение отдельных категорий граждан доступным и качественным жильем, формирование комфортной городской среды, повышение производительности труда, развитие цифровой экономики, экологическое благополучие населения. С учетом привлечения средств федерального бюджета, в том числе на возвратной основе, реализация данных проектов будет способствовать повышению темпов развития экономики, улучшению качества жизни населения.</w:t>
      </w:r>
    </w:p>
    <w:p>
      <w:pPr>
        <w:pStyle w:val="0"/>
        <w:spacing w:before="200" w:line-rule="auto"/>
        <w:ind w:firstLine="540"/>
        <w:jc w:val="both"/>
      </w:pPr>
      <w:r>
        <w:rPr>
          <w:sz w:val="20"/>
        </w:rPr>
        <w:t xml:space="preserve">В целях формирования дорожного фонда Владимирской области в наиболее полном объеме необходимо установление контроля за полнотой учета наличия автотранспортных средств, протяженностью автомобильных дорог, объема реализации нефтепродуктов. Средства фонда должны быть направлены на обеспечение содержания автомобильных дорог общего пользования, капитальный ремонт, строительство и развитие сети дорог.</w:t>
      </w:r>
    </w:p>
    <w:p>
      <w:pPr>
        <w:pStyle w:val="0"/>
        <w:spacing w:before="200" w:line-rule="auto"/>
        <w:ind w:firstLine="540"/>
        <w:jc w:val="both"/>
      </w:pPr>
      <w:r>
        <w:rPr>
          <w:sz w:val="20"/>
        </w:rPr>
        <w:t xml:space="preserve">Инфраструктурные проекты необходимо реализовать с учетом выполнения поручения Президента Российской Федерации от 22 декабря 2012 г. N Пр-3410 об удвоении до 2022 года объемов дорожного строительства.</w:t>
      </w:r>
    </w:p>
    <w:p>
      <w:pPr>
        <w:pStyle w:val="0"/>
        <w:spacing w:before="200" w:line-rule="auto"/>
        <w:ind w:firstLine="540"/>
        <w:jc w:val="both"/>
      </w:pPr>
      <w:r>
        <w:rPr>
          <w:sz w:val="20"/>
        </w:rPr>
        <w:t xml:space="preserve">Предусматривается ввод в эксплуатацию после строительства и реконструкции автомобильных дорог Василево - Курбатово в Киржачском районе, Коржавино - Большое Юрьево - Охеево в Муромском районе и Вяткино - Павловская в Судогодском районе, продолжение строительства автодорог с твердым покрытием к сельским населенным пунктам, а также начало строительства обхода г. Киржача и реконструкции автомобильной дороги Кольчугино - Киржач в Кольчугинском районе.</w:t>
      </w:r>
    </w:p>
    <w:p>
      <w:pPr>
        <w:pStyle w:val="0"/>
        <w:spacing w:before="200" w:line-rule="auto"/>
        <w:ind w:firstLine="540"/>
        <w:jc w:val="both"/>
      </w:pPr>
      <w:r>
        <w:rPr>
          <w:sz w:val="20"/>
        </w:rPr>
        <w:t xml:space="preserve">К 2023 году должно быть завершено строительство автомобильной дороги "Рпенский проезд" в г. Владимире.</w:t>
      </w:r>
    </w:p>
    <w:p>
      <w:pPr>
        <w:pStyle w:val="0"/>
        <w:spacing w:before="200" w:line-rule="auto"/>
        <w:ind w:firstLine="540"/>
        <w:jc w:val="both"/>
      </w:pPr>
      <w:r>
        <w:rPr>
          <w:sz w:val="20"/>
        </w:rPr>
        <w:t xml:space="preserve">К 2024 году в рамках национального проекта "Безопасные и качественные автомобильные дороги" 85,3% дорожной сети Владимирской городской агломерации должно быть приведено в нормативное состояние и на 50% должны быть устранены места концентрации дорожно-транспортных происшествий. К 2024 году до 80% увеличится доля контрактов, предусматривающих использование новых технологий и материалов, и до 70% возрастет доля контрактов жизненного цикла по ремонту и последующему содержанию автомобильных дорог.</w:t>
      </w:r>
    </w:p>
    <w:p>
      <w:pPr>
        <w:pStyle w:val="0"/>
        <w:spacing w:before="200" w:line-rule="auto"/>
        <w:ind w:firstLine="540"/>
        <w:jc w:val="both"/>
      </w:pPr>
      <w:r>
        <w:rPr>
          <w:sz w:val="20"/>
        </w:rPr>
        <w:t xml:space="preserve">Поддержка местным бюджетам должна быть оказана в части строительства, реконструкции, капитального ремонта и ремонта муниципальных автомобильных дорог, обеспечивающих транспортную доступность социальных объектов, а также мостов и путепроводов, находящихся в аварийном и предаварийном состоянии, расположенных на автомобильных дорогах местного значения.</w:t>
      </w:r>
    </w:p>
    <w:p>
      <w:pPr>
        <w:pStyle w:val="0"/>
        <w:spacing w:before="200" w:line-rule="auto"/>
        <w:ind w:firstLine="540"/>
        <w:jc w:val="both"/>
      </w:pPr>
      <w:r>
        <w:rPr>
          <w:sz w:val="20"/>
        </w:rPr>
        <w:t xml:space="preserve">В целях повышения безопасности дорожного движения запланированы модернизация искусственного освещения на автомобильных дорогах в населенных пунктах с устройством освещенных пешеходных переходов. Дальнейшее развитие получит система автоматической фиксации нарушений правил дорожного движения. Продолжится внедрение элементов интеллектуальной транспортной системы во Владимирской области.</w:t>
      </w:r>
    </w:p>
    <w:p>
      <w:pPr>
        <w:pStyle w:val="0"/>
        <w:spacing w:before="200" w:line-rule="auto"/>
        <w:ind w:firstLine="540"/>
        <w:jc w:val="both"/>
      </w:pPr>
      <w:r>
        <w:rPr>
          <w:sz w:val="20"/>
        </w:rPr>
        <w:t xml:space="preserve">В сфере транспорта планируются бюджетные ассигнования на обеспечение доступности проезда пассажиров пригородным автомобильным и железнодорожным транспортом, в том числе оказание адресной социальной поддержки отдельным категориям граждан, осуществление антитеррористической защищенности вокзалов, автостанций.</w:t>
      </w:r>
    </w:p>
    <w:p>
      <w:pPr>
        <w:pStyle w:val="0"/>
        <w:spacing w:before="200" w:line-rule="auto"/>
        <w:ind w:firstLine="540"/>
        <w:jc w:val="both"/>
      </w:pPr>
      <w:r>
        <w:rPr>
          <w:sz w:val="20"/>
        </w:rPr>
        <w:t xml:space="preserve">В целях развития рынка газомоторного топлива предусмотрено строительство автомобильных газонаполнительных компрессорных станций и переоборудование автомобильной техники на использование природного газа в качестве моторного топлива.</w:t>
      </w:r>
    </w:p>
    <w:p>
      <w:pPr>
        <w:pStyle w:val="0"/>
        <w:spacing w:before="200" w:line-rule="auto"/>
        <w:ind w:firstLine="540"/>
        <w:jc w:val="both"/>
      </w:pPr>
      <w:r>
        <w:rPr>
          <w:sz w:val="20"/>
        </w:rPr>
        <w:t xml:space="preserve">Направления государственной поддержки сельского хозяйства определены исходя из целей и задач, определенных </w:t>
      </w:r>
      <w:hyperlink w:history="0" r:id="rId58" w:tooltip="Распоряжение Правительства РФ от 12.04.2020 N 993-р &lt;Об утверждении Стратегии развития агропромышленного и рыбохозяйственного комплексов Российской Федерации на период до 2030 года&gt; ------------ Утратил силу или отменен {КонсультантПлюс}">
        <w:r>
          <w:rPr>
            <w:sz w:val="20"/>
            <w:color w:val="0000ff"/>
          </w:rPr>
          <w:t xml:space="preserve">Стратегией</w:t>
        </w:r>
      </w:hyperlink>
      <w:r>
        <w:rPr>
          <w:sz w:val="20"/>
        </w:rPr>
        <w:t xml:space="preserve"> развития агропромышленного комплекса до 2030 года, утвержденной распоряжением Правительства Российской Федерации от 12 апреля 2020 г. N 993-р, Государственной </w:t>
      </w:r>
      <w:hyperlink w:history="0" r:id="rId59" w:tooltip="Постановление Правительства РФ от 14.05.2021 N 731 (ред. от 02.11.2022) &quot;О Государственной программе эффективного вовлечения в оборот земель сельскохозяйственного назначения и развития мелиоративного комплекса Российской Федерации&quot; {КонсультантПлюс}">
        <w:r>
          <w:rPr>
            <w:sz w:val="20"/>
            <w:color w:val="0000ff"/>
          </w:rPr>
          <w:t xml:space="preserve">программой</w:t>
        </w:r>
      </w:hyperlink>
      <w:r>
        <w:rPr>
          <w:sz w:val="20"/>
        </w:rPr>
        <w:t xml:space="preserve"> эффективного вовлечения в оборот земель сельскохозяйственного назначения и развития мелиоративного комплекса Российской Федерации, утвержденной постановлением Правительства Российской Федерации от 14 мая 2021 г. N 731, и </w:t>
      </w:r>
      <w:hyperlink w:history="0" r:id="rId60" w:tooltip="Закон Владимирской области от 27.04.2011 N 22-ОЗ (ред. от 04.03.2022) &quot;О развитии сельского хозяйства на территории Владимирской области&quot; (принят постановлением ЗС Владимирской области от 12.04.2011 N 91) {КонсультантПлюс}">
        <w:r>
          <w:rPr>
            <w:sz w:val="20"/>
            <w:color w:val="0000ff"/>
          </w:rPr>
          <w:t xml:space="preserve">Законом</w:t>
        </w:r>
      </w:hyperlink>
      <w:r>
        <w:rPr>
          <w:sz w:val="20"/>
        </w:rPr>
        <w:t xml:space="preserve"> области от 27 апреля 2011 г. N 22-ОЗ "О развитии сельского хозяйства на территории Владимирской области".</w:t>
      </w:r>
    </w:p>
    <w:p>
      <w:pPr>
        <w:pStyle w:val="0"/>
        <w:spacing w:before="200" w:line-rule="auto"/>
        <w:ind w:firstLine="540"/>
        <w:jc w:val="both"/>
      </w:pPr>
      <w:r>
        <w:rPr>
          <w:sz w:val="20"/>
        </w:rPr>
        <w:t xml:space="preserve">В основу стратегического развития сельского хозяйства положено повышение качества жизни людей на селе.</w:t>
      </w:r>
    </w:p>
    <w:p>
      <w:pPr>
        <w:pStyle w:val="0"/>
        <w:spacing w:before="200" w:line-rule="auto"/>
        <w:ind w:firstLine="540"/>
        <w:jc w:val="both"/>
      </w:pPr>
      <w:r>
        <w:rPr>
          <w:sz w:val="20"/>
        </w:rPr>
        <w:t xml:space="preserve">Мероприятия, направленные на повышение занятости и благосостояния сельского населения, развитие социальной и инженерной инфраструктуры, будут реализовываться в рамках государственной программы "Комплексное развитие сельских территорий Владимирской области", федерального (регионального) проекта "Акселерация субъектов малого и среднего предпринимательства" и других государственных целевых программ Владимирской области.</w:t>
      </w:r>
    </w:p>
    <w:p>
      <w:pPr>
        <w:pStyle w:val="0"/>
        <w:spacing w:before="200" w:line-rule="auto"/>
        <w:ind w:firstLine="540"/>
        <w:jc w:val="both"/>
      </w:pPr>
      <w:r>
        <w:rPr>
          <w:sz w:val="20"/>
        </w:rPr>
        <w:t xml:space="preserve">В сфере продолжится работа по вовлечению граждан в принятие конкретных бюджетных решений, осуществление общественного контроля их эффективности и результативности.</w:t>
      </w:r>
    </w:p>
    <w:p>
      <w:pPr>
        <w:pStyle w:val="0"/>
        <w:spacing w:before="200" w:line-rule="auto"/>
        <w:ind w:firstLine="540"/>
        <w:jc w:val="both"/>
      </w:pPr>
      <w:r>
        <w:rPr>
          <w:sz w:val="20"/>
        </w:rPr>
        <w:t xml:space="preserve">В рамках государственной программы развития агропромышленного комплекса области и федерального (регионального) проекта "Экспорт продукции агропромышленного комплекса" запланированы меры государственной поддержки сельскохозяйственного производства, стимулирующие рост производства продукции сельского хозяйства и реализацию ее на экспорт, а также повышение финансовой устойчивости сельхозтоваропроизводителей области. Особый акцент будет сделан на создание условий для роста инвестиций в отрасль и вовлечение в оборот неиспользуемых земель сельскохозяйственного назначения.</w:t>
      </w:r>
    </w:p>
    <w:p>
      <w:pPr>
        <w:pStyle w:val="0"/>
        <w:spacing w:before="200" w:line-rule="auto"/>
        <w:ind w:firstLine="540"/>
        <w:jc w:val="both"/>
      </w:pPr>
      <w:r>
        <w:rPr>
          <w:sz w:val="20"/>
        </w:rPr>
        <w:t xml:space="preserve">В области развития малого и среднего бизнеса бюджетная политика будет направлена на создание благоприятных условий для ведения предпринимательской деятельности на территории региона.</w:t>
      </w:r>
    </w:p>
    <w:p>
      <w:pPr>
        <w:pStyle w:val="0"/>
        <w:spacing w:before="200" w:line-rule="auto"/>
        <w:ind w:firstLine="540"/>
        <w:jc w:val="both"/>
      </w:pPr>
      <w:r>
        <w:rPr>
          <w:sz w:val="20"/>
        </w:rPr>
        <w:t xml:space="preserve">В целях решения данной задачи в рамках национального проекта "Малое и среднее предпринимательство и поддержка индивидуальной предпринимательской инициативы" будут продолжены мероприятия, направленные на повышение доступности финансовых ресурсов и инфраструктуры поддержки для субъектов малого и среднего бизнеса и пропаганды предпринимательства (стимулирование граждан к осуществлению предпринимательской деятельности), в том числе:</w:t>
      </w:r>
    </w:p>
    <w:p>
      <w:pPr>
        <w:pStyle w:val="0"/>
        <w:spacing w:before="200" w:line-rule="auto"/>
        <w:ind w:firstLine="540"/>
        <w:jc w:val="both"/>
      </w:pPr>
      <w:r>
        <w:rPr>
          <w:sz w:val="20"/>
        </w:rPr>
        <w:t xml:space="preserve">- оказание организационной, информационной, имущественной и финансовой поддержки организациями инфраструктуры поддержки малого и среднего предпринимательства;</w:t>
      </w:r>
    </w:p>
    <w:p>
      <w:pPr>
        <w:pStyle w:val="0"/>
        <w:spacing w:before="200" w:line-rule="auto"/>
        <w:ind w:firstLine="540"/>
        <w:jc w:val="both"/>
      </w:pPr>
      <w:r>
        <w:rPr>
          <w:sz w:val="20"/>
        </w:rPr>
        <w:t xml:space="preserve">- дальнейшее развитие деятельности гарантийного фонда для обеспечения доступа субъектов малого и среднего предпринимательства и организаций, образующих инфраструктуру поддержки субъектов малого и среднего предпринимательства, к финансовым ресурсам;</w:t>
      </w:r>
    </w:p>
    <w:p>
      <w:pPr>
        <w:pStyle w:val="0"/>
        <w:spacing w:before="200" w:line-rule="auto"/>
        <w:ind w:firstLine="540"/>
        <w:jc w:val="both"/>
      </w:pPr>
      <w:r>
        <w:rPr>
          <w:sz w:val="20"/>
        </w:rPr>
        <w:t xml:space="preserve">- формирование положительного образа предпринимателя и вовлечение в предпринимательскую деятельность;</w:t>
      </w:r>
    </w:p>
    <w:p>
      <w:pPr>
        <w:pStyle w:val="0"/>
        <w:spacing w:before="200" w:line-rule="auto"/>
        <w:ind w:firstLine="540"/>
        <w:jc w:val="both"/>
      </w:pPr>
      <w:r>
        <w:rPr>
          <w:sz w:val="20"/>
        </w:rPr>
        <w:t xml:space="preserve">- содействие заключению субъектами малого и среднего предпринимательства договоров на поставку товаров, работ, услуг за пределы территории Российской Федерации.</w:t>
      </w:r>
    </w:p>
    <w:p>
      <w:pPr>
        <w:pStyle w:val="0"/>
        <w:spacing w:before="200" w:line-rule="auto"/>
        <w:ind w:firstLine="540"/>
        <w:jc w:val="both"/>
      </w:pPr>
      <w:r>
        <w:rPr>
          <w:sz w:val="20"/>
        </w:rPr>
        <w:t xml:space="preserve">Кроме того, предусматривается реализация мероприятий, не софинансируемых из федерального бюджета:</w:t>
      </w:r>
    </w:p>
    <w:p>
      <w:pPr>
        <w:pStyle w:val="0"/>
        <w:spacing w:before="200" w:line-rule="auto"/>
        <w:ind w:firstLine="540"/>
        <w:jc w:val="both"/>
      </w:pPr>
      <w:r>
        <w:rPr>
          <w:sz w:val="20"/>
        </w:rPr>
        <w:t xml:space="preserve">- субсидия региональному фонду развития промышленности на предоставление займов хозяйствующим субъектам малого и среднего предпринимательства в сфере промышленности;</w:t>
      </w:r>
    </w:p>
    <w:p>
      <w:pPr>
        <w:pStyle w:val="0"/>
        <w:spacing w:before="200" w:line-rule="auto"/>
        <w:ind w:firstLine="540"/>
        <w:jc w:val="both"/>
      </w:pPr>
      <w:r>
        <w:rPr>
          <w:sz w:val="20"/>
        </w:rPr>
        <w:t xml:space="preserve">- субсидия ГАУ "Бизнес-инкубатор" на оказание субъектам малого и среднего предпринимательства имущественной, информационной, консультационной поддержки;</w:t>
      </w:r>
    </w:p>
    <w:p>
      <w:pPr>
        <w:pStyle w:val="0"/>
        <w:spacing w:before="200" w:line-rule="auto"/>
        <w:ind w:firstLine="540"/>
        <w:jc w:val="both"/>
      </w:pPr>
      <w:r>
        <w:rPr>
          <w:sz w:val="20"/>
        </w:rPr>
        <w:t xml:space="preserve">- субсидирование Центра экспорта и Центра "Мой бизнес" для оказания услуг субъектам малого и среднего предпринимательства;</w:t>
      </w:r>
    </w:p>
    <w:p>
      <w:pPr>
        <w:pStyle w:val="0"/>
        <w:spacing w:before="200" w:line-rule="auto"/>
        <w:ind w:firstLine="540"/>
        <w:jc w:val="both"/>
      </w:pPr>
      <w:r>
        <w:rPr>
          <w:sz w:val="20"/>
        </w:rPr>
        <w:t xml:space="preserve">- субсидия монопрофильным муниципальным образованиям для поддержки социального предпринимательства.</w:t>
      </w:r>
    </w:p>
    <w:p>
      <w:pPr>
        <w:pStyle w:val="0"/>
        <w:spacing w:before="200" w:line-rule="auto"/>
        <w:ind w:firstLine="540"/>
        <w:jc w:val="both"/>
      </w:pPr>
      <w:r>
        <w:rPr>
          <w:sz w:val="20"/>
        </w:rPr>
        <w:t xml:space="preserve">В сфере занятости населения бюджетная политика будет направлена на решение следующих основных задач:</w:t>
      </w:r>
    </w:p>
    <w:p>
      <w:pPr>
        <w:pStyle w:val="0"/>
        <w:spacing w:before="200" w:line-rule="auto"/>
        <w:ind w:firstLine="540"/>
        <w:jc w:val="both"/>
      </w:pPr>
      <w:r>
        <w:rPr>
          <w:sz w:val="20"/>
        </w:rPr>
        <w:t xml:space="preserve">- формирование сбалансированного регионального рынка труда;</w:t>
      </w:r>
    </w:p>
    <w:p>
      <w:pPr>
        <w:pStyle w:val="0"/>
        <w:spacing w:before="200" w:line-rule="auto"/>
        <w:ind w:firstLine="540"/>
        <w:jc w:val="both"/>
      </w:pPr>
      <w:r>
        <w:rPr>
          <w:sz w:val="20"/>
        </w:rPr>
        <w:t xml:space="preserve">- содействие в реализации прав граждан в области труда.</w:t>
      </w:r>
    </w:p>
    <w:p>
      <w:pPr>
        <w:pStyle w:val="0"/>
        <w:spacing w:before="200" w:line-rule="auto"/>
        <w:ind w:firstLine="540"/>
        <w:jc w:val="both"/>
      </w:pPr>
      <w:r>
        <w:rPr>
          <w:sz w:val="20"/>
        </w:rPr>
        <w:t xml:space="preserve">Наряду с социальной поддержкой безработных граждан и трудоустройством граждан, ищущих работу, должны осуществляться меры активной политики занятости (профессиональное обучение и дополнительное профессиональное образование безработных граждан, их психологическая поддержка и социальная адаптация на рынке труда, организация проведения оплачиваемых общественных работ, содействие самозанятости безработных граждан).</w:t>
      </w:r>
    </w:p>
    <w:p>
      <w:pPr>
        <w:pStyle w:val="0"/>
        <w:spacing w:before="200" w:line-rule="auto"/>
        <w:ind w:firstLine="540"/>
        <w:jc w:val="both"/>
      </w:pPr>
      <w:r>
        <w:rPr>
          <w:sz w:val="20"/>
        </w:rPr>
        <w:t xml:space="preserve">Будут проведены мероприятия по содействию занятости инвалидов, способствующих повышению заинтересованности работодателей в оснащении рабочих мест.</w:t>
      </w:r>
    </w:p>
    <w:p>
      <w:pPr>
        <w:pStyle w:val="0"/>
        <w:spacing w:before="200" w:line-rule="auto"/>
        <w:ind w:firstLine="540"/>
        <w:jc w:val="both"/>
      </w:pPr>
      <w:r>
        <w:rPr>
          <w:sz w:val="20"/>
        </w:rPr>
        <w:t xml:space="preserve">В целях обеспечения занятости молодежи планируется проведение мероприятий по профессиональной ориентации и организация стажировок для выпускников профессиональных образовательных учреждений.</w:t>
      </w:r>
    </w:p>
    <w:p>
      <w:pPr>
        <w:pStyle w:val="0"/>
        <w:spacing w:before="200" w:line-rule="auto"/>
        <w:ind w:firstLine="540"/>
        <w:jc w:val="both"/>
      </w:pPr>
      <w:r>
        <w:rPr>
          <w:sz w:val="20"/>
        </w:rPr>
        <w:t xml:space="preserve">Привлечению трудовых ресурсов должны способствовать меры по оказанию содействия добровольному переселению в область соотечественников и членов их семей, проживающих за рубежом.</w:t>
      </w:r>
    </w:p>
    <w:p>
      <w:pPr>
        <w:pStyle w:val="0"/>
        <w:spacing w:before="200" w:line-rule="auto"/>
        <w:ind w:firstLine="540"/>
        <w:jc w:val="both"/>
      </w:pPr>
      <w:r>
        <w:rPr>
          <w:sz w:val="20"/>
        </w:rPr>
        <w:t xml:space="preserve">В сфере туризма приоритетом является обеспечение качества и доступности услуг в сфере туризма Владимирской области, содействие туристской деятельности и создание благоприятных условий для ее развития. Исполнителем мероприятий по организационной, информационной и кадровой поддержке туристского комплекса Владимирской области определена автономная некоммерческая организация "Туристский информационный центр Владимирской области".</w:t>
      </w:r>
    </w:p>
    <w:p>
      <w:pPr>
        <w:pStyle w:val="0"/>
        <w:spacing w:before="200" w:line-rule="auto"/>
        <w:ind w:firstLine="540"/>
        <w:jc w:val="both"/>
      </w:pPr>
      <w:r>
        <w:rPr>
          <w:sz w:val="20"/>
        </w:rPr>
        <w:t xml:space="preserve">Президентом Российской Федерации в целях реализации Послания Федеральному Собранию от 21 апреля 2021 года поручено Правительству Российской Федерации создать механизмы, направленные на повышение туристского потенциала малых городов Гороховец и Муром. Предстоит принять активное участие в решении поставленной задачи, а также включиться в реализацию разрабатываемого национального проекта "Туризм и индустрия гостеприимства".</w:t>
      </w:r>
    </w:p>
    <w:p>
      <w:pPr>
        <w:pStyle w:val="0"/>
        <w:spacing w:before="200" w:line-rule="auto"/>
        <w:ind w:firstLine="540"/>
        <w:jc w:val="both"/>
      </w:pPr>
      <w:r>
        <w:rPr>
          <w:sz w:val="20"/>
        </w:rPr>
        <w:t xml:space="preserve">Бюджетная политика в области жилищно-коммунального хозяйства будет реализовываться в рамках национального проекта "Жилье и городская среда".</w:t>
      </w:r>
    </w:p>
    <w:p>
      <w:pPr>
        <w:pStyle w:val="0"/>
        <w:spacing w:before="200" w:line-rule="auto"/>
        <w:ind w:firstLine="540"/>
        <w:jc w:val="both"/>
      </w:pPr>
      <w:r>
        <w:rPr>
          <w:sz w:val="20"/>
        </w:rPr>
        <w:t xml:space="preserve">Продолжится переселение граждан из непригодного для проживания жилищного фонда на условиях, определенных Государственной корпорацией - Фондом содействия реформированию жилищно-коммунального хозяйства.</w:t>
      </w:r>
    </w:p>
    <w:p>
      <w:pPr>
        <w:pStyle w:val="0"/>
        <w:spacing w:before="200" w:line-rule="auto"/>
        <w:ind w:firstLine="540"/>
        <w:jc w:val="both"/>
      </w:pPr>
      <w:r>
        <w:rPr>
          <w:sz w:val="20"/>
        </w:rPr>
        <w:t xml:space="preserve">В сфере жилищного строительства бюджетные ассигнования планируется направить на приобретение и строительство социального жилья для малоимущих граждан, детей-сирот и детей, оставшихся без попечения родителей, предоставление выплат и субсидий различным категориям - молодым семьям, ветеранам, ветеранам войны и боевых действий, инвалидам, семьям с детьми-инвалидами, многодетным семьям, работникам бюджетной сферы, молодым специалистам и гражданам, проживающим на селе.</w:t>
      </w:r>
    </w:p>
    <w:p>
      <w:pPr>
        <w:pStyle w:val="0"/>
        <w:spacing w:before="200" w:line-rule="auto"/>
        <w:ind w:firstLine="540"/>
        <w:jc w:val="both"/>
      </w:pPr>
      <w:r>
        <w:rPr>
          <w:sz w:val="20"/>
        </w:rPr>
        <w:t xml:space="preserve">Продолжится обустройство коммунальной и транспортной инфраструктурой участков, предоставленных для жилищного строительства семьям, имеющим трех и более детей, в целях выполнения </w:t>
      </w:r>
      <w:hyperlink w:history="0" r:id="rId61" w:tooltip="Указ Президента РФ от 07.05.2012 N 600 &quot;О мерах по обеспечению граждан Российской Федерации доступным и комфортным жильем и повышению качества жилищно-коммунальных услуг&quot; {КонсультантПлюс}">
        <w:r>
          <w:rPr>
            <w:sz w:val="20"/>
            <w:color w:val="0000ff"/>
          </w:rPr>
          <w:t xml:space="preserve">Указа</w:t>
        </w:r>
      </w:hyperlink>
      <w:r>
        <w:rPr>
          <w:sz w:val="20"/>
        </w:rPr>
        <w:t xml:space="preserve"> Президента Российской Федерации от 7 мая 2012 г. N 600 "О мерах по обеспечению граждан Российской Федерации доступным и комфортным жильем и повышению качества жилищно-коммунальных услуг", а также дополнительная поддержка - предоставление многодетным семьям социальных выплат на приобретение и строительство жилья.</w:t>
      </w:r>
    </w:p>
    <w:p>
      <w:pPr>
        <w:pStyle w:val="0"/>
        <w:spacing w:before="200" w:line-rule="auto"/>
        <w:ind w:firstLine="540"/>
        <w:jc w:val="both"/>
      </w:pPr>
      <w:r>
        <w:rPr>
          <w:sz w:val="20"/>
        </w:rPr>
        <w:t xml:space="preserve">Средства на обеспечение деятельности регионального оператора - некоммерческой организации "Фонд капитального ремонта многоквартирных домов" направляются в целях выполнения мероприятий по капитальному ремонту общего имущества многоквартирных домов в рамках утвержденной до 2043 года региональной программы.</w:t>
      </w:r>
    </w:p>
    <w:p>
      <w:pPr>
        <w:pStyle w:val="0"/>
        <w:spacing w:before="200" w:line-rule="auto"/>
        <w:ind w:firstLine="540"/>
        <w:jc w:val="both"/>
      </w:pPr>
      <w:r>
        <w:rPr>
          <w:sz w:val="20"/>
        </w:rPr>
        <w:t xml:space="preserve">Модернизация и строительство объектов водоснабжения в рамках федерального проекта "Чистая вода" направляются на повышение качества питьевой воды в населенных пунктах. В трехлетний период планируется осуществить строительство (реконструкцию) на 6 объектах.</w:t>
      </w:r>
    </w:p>
    <w:p>
      <w:pPr>
        <w:pStyle w:val="0"/>
        <w:spacing w:before="200" w:line-rule="auto"/>
        <w:ind w:firstLine="540"/>
        <w:jc w:val="both"/>
      </w:pPr>
      <w:r>
        <w:rPr>
          <w:sz w:val="20"/>
        </w:rPr>
        <w:t xml:space="preserve">Высокий уровень износа коммунальной инфраструктуры сказывается на качестве и стоимости предоставляемых услуг населению. Предусматривается строительство, реконструкция и модернизация котельных, сетей теплоснабжения и водоснабжения, водоотведения, в том числе проведение газификации и водоснабжения в сельской местности, модернизация уличного освещения с применением энергосберегающих систем.</w:t>
      </w:r>
    </w:p>
    <w:p>
      <w:pPr>
        <w:pStyle w:val="0"/>
        <w:spacing w:before="200" w:line-rule="auto"/>
        <w:ind w:firstLine="540"/>
        <w:jc w:val="both"/>
      </w:pPr>
      <w:r>
        <w:rPr>
          <w:sz w:val="20"/>
        </w:rPr>
        <w:t xml:space="preserve">Доступность использования жителями области для бытовых нужд природного газа, в том числе для ветеранов Великой Отечественной войны, инвалидов и семьей, имеющих детей-инвалидов, пенсионеров, многодетных семей, будет обеспечиваться за счет компенсации части стоимости работ, связанных с подготовкой внутридомового оборудования к приему газа.</w:t>
      </w:r>
    </w:p>
    <w:p>
      <w:pPr>
        <w:pStyle w:val="0"/>
        <w:spacing w:before="200" w:line-rule="auto"/>
        <w:ind w:firstLine="540"/>
        <w:jc w:val="both"/>
      </w:pPr>
      <w:r>
        <w:rPr>
          <w:sz w:val="20"/>
        </w:rPr>
        <w:t xml:space="preserve">Благоустройство дворовых и общественных территорий в целях создания комфортной городской среды будет выполняться с учетом мнения горожан и обеспечит повышение индекса качества городской среды, увеличение числа городов с благоприятной средой.</w:t>
      </w:r>
    </w:p>
    <w:p>
      <w:pPr>
        <w:pStyle w:val="0"/>
        <w:spacing w:before="200" w:line-rule="auto"/>
        <w:ind w:firstLine="540"/>
        <w:jc w:val="both"/>
      </w:pPr>
      <w:r>
        <w:rPr>
          <w:sz w:val="20"/>
        </w:rPr>
        <w:t xml:space="preserve">В целях реализации Федерального </w:t>
      </w:r>
      <w:hyperlink w:history="0" r:id="rId62" w:tooltip="Федеральный закон от 27.12.2018 N 498-ФЗ (ред. от 07.10.2022) &quot;Об ответственном обращении с животными и о внесении изменений в отдельные законодательные акты Российской Федерации&quot; ------------ Недействующая редакция {КонсультантПлюс}">
        <w:r>
          <w:rPr>
            <w:sz w:val="20"/>
            <w:color w:val="0000ff"/>
          </w:rPr>
          <w:t xml:space="preserve">закона</w:t>
        </w:r>
      </w:hyperlink>
      <w:r>
        <w:rPr>
          <w:sz w:val="20"/>
        </w:rPr>
        <w:t xml:space="preserve"> от 27 декабря 2018 г. N 498-ФЗ "Об ответственном обращении с животными и о внесении изменений в отдельные законодательные акты Российской Федерации", а также в рамках реализации </w:t>
      </w:r>
      <w:hyperlink w:history="0" r:id="rId63" w:tooltip="&quot;Перечень поручений по результатам проверки исполнения законодательства и решений Президента по вопросам формирования в обществе ответственного отношения к животным&quot; (утв. Президентом РФ 15.05.2021 N Пр-808) {КонсультантПлюс}">
        <w:r>
          <w:rPr>
            <w:sz w:val="20"/>
            <w:color w:val="0000ff"/>
          </w:rPr>
          <w:t xml:space="preserve">поручения</w:t>
        </w:r>
      </w:hyperlink>
      <w:r>
        <w:rPr>
          <w:sz w:val="20"/>
        </w:rPr>
        <w:t xml:space="preserve"> Президента Российской Федерации от 15 мая 2021 г. N Пр-808 по данному вопросу планируются новые расходные обязательства области в 2022 году по строительству питомника для животных без владельцев, а также расходы по его содержанию в 2023 - 2024 годах ежегодно.</w:t>
      </w:r>
    </w:p>
    <w:p>
      <w:pPr>
        <w:pStyle w:val="0"/>
        <w:spacing w:before="200" w:line-rule="auto"/>
        <w:ind w:firstLine="540"/>
        <w:jc w:val="both"/>
      </w:pPr>
      <w:r>
        <w:rPr>
          <w:sz w:val="20"/>
        </w:rPr>
        <w:t xml:space="preserve">В послании Президента Российской Федерации к Федеральному Собранию охрана окружающей среды признана безусловным приоритетом повышения качества жизни людей. Принципиально меняются подходы области решения экологических проблем. Правительству Российской Федерации поручено проработать вопрос по целевому использованию экологических платежей для финансирования природоохранных мероприятий, а также по установлению финансовой ответственности собственников предприятий, деятельность которых причиняет вред окружающей среде.</w:t>
      </w:r>
    </w:p>
    <w:p>
      <w:pPr>
        <w:pStyle w:val="0"/>
        <w:spacing w:before="200" w:line-rule="auto"/>
        <w:ind w:firstLine="540"/>
        <w:jc w:val="both"/>
      </w:pPr>
      <w:r>
        <w:rPr>
          <w:sz w:val="20"/>
        </w:rPr>
        <w:t xml:space="preserve">В целях решения задач в области охраны природы будут предусмотрены расходы на развитие комплексного мониторинга окружающей среды и государственного экологического надзора, на экологическое оздоровление водных объектов и сохранение особо охраняемых природных территорий регионального значения, на капитальный ремонт гидротехнических сооружений и рекультивацию свалок, а также на формирование основ экологической культуры населения области.</w:t>
      </w:r>
    </w:p>
    <w:p>
      <w:pPr>
        <w:pStyle w:val="0"/>
        <w:spacing w:before="200" w:line-rule="auto"/>
        <w:ind w:firstLine="540"/>
        <w:jc w:val="both"/>
      </w:pPr>
      <w:r>
        <w:rPr>
          <w:sz w:val="20"/>
        </w:rPr>
        <w:t xml:space="preserve">Конкретные природоохранные мероприятия и объекты будут определены после отбора направленных регионом в Минприроды России заявок.</w:t>
      </w:r>
    </w:p>
    <w:p>
      <w:pPr>
        <w:pStyle w:val="0"/>
        <w:spacing w:before="200" w:line-rule="auto"/>
        <w:ind w:firstLine="540"/>
        <w:jc w:val="both"/>
      </w:pPr>
      <w:r>
        <w:rPr>
          <w:sz w:val="20"/>
        </w:rPr>
        <w:t xml:space="preserve">В сфере лесного хозяйства планируется финансирование мероприятий, направленных на развитие рационального лесопользования и воспроизводства лесов, создание эффективной системы профилактики и тушения лесных пожаров, проведение работ по лесоустройству, повышение эффективности государственного лесного контроля и надзора.</w:t>
      </w:r>
    </w:p>
    <w:p>
      <w:pPr>
        <w:pStyle w:val="0"/>
        <w:spacing w:before="200" w:line-rule="auto"/>
        <w:ind w:firstLine="540"/>
        <w:jc w:val="both"/>
      </w:pPr>
      <w:r>
        <w:rPr>
          <w:sz w:val="20"/>
        </w:rPr>
        <w:t xml:space="preserve">Лесовосстановительные и лесоохранные мероприятия должны обеспечить выполнение целевого показателя, установленного в федеральном (региональном) проекте "Сохранение лесов" - достижение к 2024 году 100% соотношения выбытия и воспроизводства лесов. Особый акцент будет сделан на сокращение объемов незаконных рубок леса и предотвращение нелегального оборота древесины на территории Владимирской области.</w:t>
      </w:r>
    </w:p>
    <w:p>
      <w:pPr>
        <w:pStyle w:val="0"/>
        <w:spacing w:before="200" w:line-rule="auto"/>
        <w:ind w:firstLine="540"/>
        <w:jc w:val="both"/>
      </w:pPr>
      <w:r>
        <w:rPr>
          <w:sz w:val="20"/>
        </w:rPr>
        <w:t xml:space="preserve">В области государственного управления бюджетная политика должна быть направлена на реализацию следующих основных задач:</w:t>
      </w:r>
    </w:p>
    <w:p>
      <w:pPr>
        <w:pStyle w:val="0"/>
        <w:spacing w:before="200" w:line-rule="auto"/>
        <w:ind w:firstLine="540"/>
        <w:jc w:val="both"/>
      </w:pPr>
      <w:r>
        <w:rPr>
          <w:sz w:val="20"/>
        </w:rPr>
        <w:t xml:space="preserve">- обеспечение выполнения установленного Правительством Российской Федерации норматива расходов на содержание органов государственной власти области. С этой целью следует исключить принятие решений, приводящих к увеличению расходов областного бюджета на обеспечение деятельности органов государственной власти. Не допускать увеличения штатной численности государственных гражданских служащих и работников органов государственной власти области, государственных органов. Дополнительно возложенные функции и полномочия необходимо исполнять на основе перераспределения штатной численности государственных гражданских служащих и работников между органами государственной власти области, а также с учетом численности автономных некоммерческих организаций, созданных органами исполнительной власти области;</w:t>
      </w:r>
    </w:p>
    <w:p>
      <w:pPr>
        <w:pStyle w:val="0"/>
        <w:spacing w:before="200" w:line-rule="auto"/>
        <w:ind w:firstLine="540"/>
        <w:jc w:val="both"/>
      </w:pPr>
      <w:r>
        <w:rPr>
          <w:sz w:val="20"/>
        </w:rPr>
        <w:t xml:space="preserve">- оптимизация деятельности органов государственной власти области, исключение дублирования функций и полномочий, централизация обеспечивающих функций;</w:t>
      </w:r>
    </w:p>
    <w:p>
      <w:pPr>
        <w:pStyle w:val="0"/>
        <w:spacing w:before="200" w:line-rule="auto"/>
        <w:ind w:firstLine="540"/>
        <w:jc w:val="both"/>
      </w:pPr>
      <w:r>
        <w:rPr>
          <w:sz w:val="20"/>
        </w:rPr>
        <w:t xml:space="preserve">- повышение эффективности деятельности органов государственной власти области путем внедрения современных технологий на базе цифровизации возложенных на них функций;</w:t>
      </w:r>
    </w:p>
    <w:p>
      <w:pPr>
        <w:pStyle w:val="0"/>
        <w:spacing w:before="200" w:line-rule="auto"/>
        <w:ind w:firstLine="540"/>
        <w:jc w:val="both"/>
      </w:pPr>
      <w:r>
        <w:rPr>
          <w:sz w:val="20"/>
        </w:rPr>
        <w:t xml:space="preserve">- ограничение использования средств вакантного фонда на премирование работников выше 10%.</w:t>
      </w:r>
    </w:p>
    <w:p>
      <w:pPr>
        <w:pStyle w:val="0"/>
        <w:spacing w:before="200" w:line-rule="auto"/>
        <w:ind w:firstLine="540"/>
        <w:jc w:val="both"/>
      </w:pPr>
      <w:r>
        <w:rPr>
          <w:sz w:val="20"/>
        </w:rPr>
        <w:t xml:space="preserve">Предоставление государственных и муниципальных услуг населению области будет осуществляться централизовано на областном уровне ГБУ "МФЦ Владимирской области" и его филиалами на территории области.</w:t>
      </w:r>
    </w:p>
    <w:p>
      <w:pPr>
        <w:pStyle w:val="0"/>
        <w:spacing w:before="200" w:line-rule="auto"/>
        <w:ind w:firstLine="540"/>
        <w:jc w:val="both"/>
      </w:pPr>
      <w:r>
        <w:rPr>
          <w:sz w:val="20"/>
        </w:rPr>
        <w:t xml:space="preserve">Планируется строительство здания государственного архива Владимирской области.</w:t>
      </w:r>
    </w:p>
    <w:p>
      <w:pPr>
        <w:pStyle w:val="0"/>
        <w:spacing w:before="200" w:line-rule="auto"/>
        <w:ind w:firstLine="540"/>
        <w:jc w:val="both"/>
      </w:pPr>
      <w:r>
        <w:rPr>
          <w:sz w:val="20"/>
        </w:rPr>
        <w:t xml:space="preserve">В целях предупреждения чрезвычайных ситуаций природного и техногенного характера, борьбы с ландшафтными пожарами будет сформирован областной резервный фонд - фонд чрезвычайных ситуаций.</w:t>
      </w:r>
    </w:p>
    <w:p>
      <w:pPr>
        <w:pStyle w:val="0"/>
        <w:spacing w:before="200" w:line-rule="auto"/>
        <w:ind w:firstLine="540"/>
        <w:jc w:val="both"/>
      </w:pPr>
      <w:r>
        <w:rPr>
          <w:sz w:val="20"/>
        </w:rPr>
        <w:t xml:space="preserve">В области капитального строительства бюджетная политика должна быть направлена на приоритетное обеспечение финансированием капитальных вложений в объекты, реализуемые в рамках национальных проектов, объектов, находящихся в стадии завершения, значимых объектов для социально-экономического развития региона, а также на расширение инвестиционных планов и программ с новыми возможностями по развитию инфраструктуры.</w:t>
      </w:r>
    </w:p>
    <w:p>
      <w:pPr>
        <w:pStyle w:val="0"/>
        <w:spacing w:before="200" w:line-rule="auto"/>
        <w:ind w:firstLine="540"/>
        <w:jc w:val="both"/>
      </w:pPr>
      <w:r>
        <w:rPr>
          <w:sz w:val="20"/>
        </w:rPr>
        <w:t xml:space="preserve">Увеличению инвестиционных ресурсов будет способствовать применение новых механизмов в виде бюджетных кредитов на финансовое обеспечение реализации инфраструктурных проектов, инфраструктурных облигаций специализированных обществ проектного финансирования, создания (реконструкции) объектов образования на основании концессионных соглашений.</w:t>
      </w:r>
    </w:p>
    <w:p>
      <w:pPr>
        <w:pStyle w:val="0"/>
        <w:spacing w:before="200" w:line-rule="auto"/>
        <w:ind w:firstLine="540"/>
        <w:jc w:val="both"/>
      </w:pPr>
      <w:r>
        <w:rPr>
          <w:sz w:val="20"/>
        </w:rPr>
        <w:t xml:space="preserve">С этой целью, в первую очередь, необходимы определение и подготовка приоритетных инфраструктурных проектов, направленных на развитие автомобильных дорог, обновление систем жилищно-коммунального хозяйства и общественного транспорта, комплексное развитие территорий, создание объектов туристической индустрии и социальной сферы. Это послужит привлечению частных инвестиций, созданию новых высокооплачиваемых рабочих мест, решению социальных проблем в борьбе с бедностью.</w:t>
      </w:r>
    </w:p>
    <w:p>
      <w:pPr>
        <w:pStyle w:val="0"/>
        <w:spacing w:before="200" w:line-rule="auto"/>
        <w:ind w:firstLine="540"/>
        <w:jc w:val="both"/>
      </w:pPr>
      <w:r>
        <w:rPr>
          <w:sz w:val="20"/>
        </w:rPr>
        <w:t xml:space="preserve">Планирование бюджетных ассигнований на осуществление капитальных вложений должно осуществляться на основании нормативных правовых актов области по формированию областной адресной инвестиционной программы.</w:t>
      </w:r>
    </w:p>
    <w:p>
      <w:pPr>
        <w:pStyle w:val="0"/>
        <w:spacing w:before="200" w:line-rule="auto"/>
        <w:ind w:firstLine="540"/>
        <w:jc w:val="both"/>
      </w:pPr>
      <w:r>
        <w:rPr>
          <w:sz w:val="20"/>
        </w:rPr>
        <w:t xml:space="preserve">Решения об инвестиционных вложениях должны приниматься при наличии на 1 августа текущего года качественно разработанной актуализированной проектно-сметной документации, положительного заключения государственной экспертизы, принятых решений о выделении земельных участков под строительство, разработанных и утвержденных графиков выполнения работ. Капитальные расходы должны быть включены в проект областного бюджета при наличии подтверждения Департаментом архитектуры и строительства области полноты и актуальности проектно-сметной документации по каждому объекту на трехлетний период.</w:t>
      </w:r>
    </w:p>
    <w:p>
      <w:pPr>
        <w:pStyle w:val="0"/>
        <w:spacing w:before="200" w:line-rule="auto"/>
        <w:ind w:firstLine="540"/>
        <w:jc w:val="both"/>
      </w:pPr>
      <w:r>
        <w:rPr>
          <w:sz w:val="20"/>
        </w:rPr>
        <w:t xml:space="preserve">Высвободившиеся в 2022 - 2024 годах средства областного бюджета в результате снижения объема погашения задолженности по бюджетным кредитам, предоставленным из федерального бюджета, планируется направить на реализацию новых инвестиционных проектов в отраслях промышленности и ЖКХ, а также в объекты капитального строительства в рамках реализации национальных проектов (программ), в том числе жилищного строительства.</w:t>
      </w:r>
    </w:p>
    <w:p>
      <w:pPr>
        <w:pStyle w:val="0"/>
        <w:spacing w:before="200" w:line-rule="auto"/>
        <w:ind w:firstLine="540"/>
        <w:jc w:val="both"/>
      </w:pPr>
      <w:r>
        <w:rPr>
          <w:sz w:val="20"/>
        </w:rPr>
        <w:t xml:space="preserve">Оказанию услуг в сфере привлечения инвестиций в экономику Владимирской области, развитию экономического и инвестиционного потенциала области, сопровождению инвестиционных проектов, реализуемых и (или) планируемых к реализации на территории области по принципу "одного окна" будет способствовать созданное в 2020 году АНО "Агентство экономического развития Владимирской области".</w:t>
      </w:r>
    </w:p>
    <w:p>
      <w:pPr>
        <w:pStyle w:val="0"/>
        <w:spacing w:before="200" w:line-rule="auto"/>
        <w:ind w:firstLine="540"/>
        <w:jc w:val="both"/>
      </w:pPr>
      <w:r>
        <w:rPr>
          <w:sz w:val="20"/>
        </w:rPr>
        <w:t xml:space="preserve">Планирование расходов на капитальный ремонт объектов областной собственности должно осуществляться по утвержденной проектной документации с положительным заключением государственной экспертизы (при необходимости) по состоянию на 1 августа текущего года.</w:t>
      </w:r>
    </w:p>
    <w:p>
      <w:pPr>
        <w:pStyle w:val="0"/>
        <w:spacing w:before="200" w:line-rule="auto"/>
        <w:ind w:firstLine="540"/>
        <w:jc w:val="both"/>
      </w:pPr>
      <w:r>
        <w:rPr>
          <w:sz w:val="20"/>
        </w:rPr>
        <w:t xml:space="preserve">Межбюджетные отношения с муниципальными образованиями области в 2022 - 2024 годах должны быть сформированы в соответствии с требованиями Бюджетного </w:t>
      </w:r>
      <w:hyperlink w:history="0" r:id="rId64" w:tooltip="&quot;Бюджетный кодекс Российской Федерации&quot; от 31.07.1998 N 145-ФЗ (ред. от 19.12.2022) ------------ Недействующая редакция {КонсультантПлюс}">
        <w:r>
          <w:rPr>
            <w:sz w:val="20"/>
            <w:color w:val="0000ff"/>
          </w:rPr>
          <w:t xml:space="preserve">кодекса</w:t>
        </w:r>
      </w:hyperlink>
      <w:r>
        <w:rPr>
          <w:sz w:val="20"/>
        </w:rPr>
        <w:t xml:space="preserve"> Российской Федерации и </w:t>
      </w:r>
      <w:hyperlink w:history="0" r:id="rId65" w:tooltip="Закон Владимирской области от 10.10.2005 N 139-ОЗ (ред. от 08.08.2022) &quot;О межбюджетных отношениях во Владимирской области&quot; (принят постановлением ЗС Владимирской области от 28.09.2005 N 652) {КонсультантПлюс}">
        <w:r>
          <w:rPr>
            <w:sz w:val="20"/>
            <w:color w:val="0000ff"/>
          </w:rPr>
          <w:t xml:space="preserve">Закона</w:t>
        </w:r>
      </w:hyperlink>
      <w:r>
        <w:rPr>
          <w:sz w:val="20"/>
        </w:rPr>
        <w:t xml:space="preserve"> области от 10 октября 2005 г. N 139-ОЗ "О межбюджетных отношениях во Владимирской области".</w:t>
      </w:r>
    </w:p>
    <w:p>
      <w:pPr>
        <w:pStyle w:val="0"/>
        <w:spacing w:before="200" w:line-rule="auto"/>
        <w:ind w:firstLine="540"/>
        <w:jc w:val="both"/>
      </w:pPr>
      <w:r>
        <w:rPr>
          <w:sz w:val="20"/>
        </w:rPr>
        <w:t xml:space="preserve">Приоритетными задачами в сфере межбюджетных отношений являются:</w:t>
      </w:r>
    </w:p>
    <w:p>
      <w:pPr>
        <w:pStyle w:val="0"/>
        <w:spacing w:before="200" w:line-rule="auto"/>
        <w:ind w:firstLine="540"/>
        <w:jc w:val="both"/>
      </w:pPr>
      <w:r>
        <w:rPr>
          <w:sz w:val="20"/>
        </w:rPr>
        <w:t xml:space="preserve">сохранение высокой роли выравнивающей составляющей межбюджетных трансфертов в целях обеспечения равной доступности населения области к муниципальным услугам независимо от места проживания гражданина;</w:t>
      </w:r>
    </w:p>
    <w:p>
      <w:pPr>
        <w:pStyle w:val="0"/>
        <w:spacing w:before="200" w:line-rule="auto"/>
        <w:ind w:firstLine="540"/>
        <w:jc w:val="both"/>
      </w:pPr>
      <w:r>
        <w:rPr>
          <w:sz w:val="20"/>
        </w:rPr>
        <w:t xml:space="preserve">продолжение политики замены дотаций (части дотаций) на выравнивание уровня бюджетной обеспеченности дифференцированными нормативами отчислений от налога на доходы физических лиц;</w:t>
      </w:r>
    </w:p>
    <w:p>
      <w:pPr>
        <w:pStyle w:val="0"/>
        <w:spacing w:before="200" w:line-rule="auto"/>
        <w:ind w:firstLine="540"/>
        <w:jc w:val="both"/>
      </w:pPr>
      <w:r>
        <w:rPr>
          <w:sz w:val="20"/>
        </w:rPr>
        <w:t xml:space="preserve">стимулирование органов местного самоуправления в увеличении собственной доходной базы муниципальных образований;</w:t>
      </w:r>
    </w:p>
    <w:p>
      <w:pPr>
        <w:pStyle w:val="0"/>
        <w:spacing w:before="200" w:line-rule="auto"/>
        <w:ind w:firstLine="540"/>
        <w:jc w:val="both"/>
      </w:pPr>
      <w:r>
        <w:rPr>
          <w:sz w:val="20"/>
        </w:rPr>
        <w:t xml:space="preserve">повышение эффективности предоставления целевых межбюджетных трансфертов;</w:t>
      </w:r>
    </w:p>
    <w:p>
      <w:pPr>
        <w:pStyle w:val="0"/>
        <w:spacing w:before="200" w:line-rule="auto"/>
        <w:ind w:firstLine="540"/>
        <w:jc w:val="both"/>
      </w:pPr>
      <w:r>
        <w:rPr>
          <w:sz w:val="20"/>
        </w:rPr>
        <w:t xml:space="preserve">стимулирование введения "горизонтальных субсидий" в целях развития межмуниципальной кооперации и повышения эффективности использования средств местного бюджета;</w:t>
      </w:r>
    </w:p>
    <w:p>
      <w:pPr>
        <w:pStyle w:val="0"/>
        <w:spacing w:before="200" w:line-rule="auto"/>
        <w:ind w:firstLine="540"/>
        <w:jc w:val="both"/>
      </w:pPr>
      <w:r>
        <w:rPr>
          <w:sz w:val="20"/>
        </w:rPr>
        <w:t xml:space="preserve">содействие в обеспечении сбалансированности местных бюджетов, снижение рисков неисполнения первоочередных расходных обязательств муниципальных образований;</w:t>
      </w:r>
    </w:p>
    <w:p>
      <w:pPr>
        <w:pStyle w:val="0"/>
        <w:spacing w:before="200" w:line-rule="auto"/>
        <w:ind w:firstLine="540"/>
        <w:jc w:val="both"/>
      </w:pPr>
      <w:r>
        <w:rPr>
          <w:sz w:val="20"/>
        </w:rPr>
        <w:t xml:space="preserve">реализация мер по укреплению финансовой дисциплины, соблюдению органами местного самоуправления требований бюджетного законодательства, переход от финансовой к персональной ответственности руководителей местных администраций за несоблюдение предельных значений размера дефицита бюджета, объема заимствований и объема муниципального долга, а также за недостижение результатов региональных составляющих национальных проектов;</w:t>
      </w:r>
    </w:p>
    <w:p>
      <w:pPr>
        <w:pStyle w:val="0"/>
        <w:spacing w:before="200" w:line-rule="auto"/>
        <w:ind w:firstLine="540"/>
        <w:jc w:val="both"/>
      </w:pPr>
      <w:r>
        <w:rPr>
          <w:sz w:val="20"/>
        </w:rPr>
        <w:t xml:space="preserve">вовлечение граждан в процесс принятия решений о распределении муниципальных финансов.</w:t>
      </w:r>
    </w:p>
    <w:p>
      <w:pPr>
        <w:pStyle w:val="0"/>
        <w:spacing w:before="200" w:line-rule="auto"/>
        <w:ind w:firstLine="540"/>
        <w:jc w:val="both"/>
      </w:pPr>
      <w:r>
        <w:rPr>
          <w:sz w:val="20"/>
        </w:rPr>
        <w:t xml:space="preserve">В части выравнивания уровня бюджетной обеспеченности муниципальных образований области будет действовать формализованный порядок определения критерия выравнивания бюджетной обеспеченности муниципальных районов и городских округов и финансовых возможностей поселений, исходя из необходимости достижения которых будет сформирован объем дотаций на выравнивание бюджетной обеспеченности муниципальных образований области.</w:t>
      </w:r>
    </w:p>
    <w:p>
      <w:pPr>
        <w:pStyle w:val="0"/>
        <w:spacing w:before="200" w:line-rule="auto"/>
        <w:ind w:firstLine="540"/>
        <w:jc w:val="both"/>
      </w:pPr>
      <w:r>
        <w:rPr>
          <w:sz w:val="20"/>
        </w:rPr>
        <w:t xml:space="preserve">Будет продолжена практика замены дотации на выравнивание бюджетной обеспеченности муниципальных районов (городских округов) полностью или частично дополнительными нормативами отчислений в бюджеты соответствующих муниципальных районов (городских округов) от налога на доходы физических лиц, подлежащего зачислению в областной бюджет. С этой целью департаментом финансов, бюджетной и налоговой политики администрации области до 15 октября текущего года должен быть направлен муниципальным районам (городским округам) расчет дотаций на выравнивание бюджетной обеспеченности муниципальных районов (городских округов) на очередной финансовый год и плановый период. Решения представительных органов муниципальных районов (городских округов) о согласовании замены определенного для них расчетного размера дотаций на выравнивание бюджетной обеспеченности муниципальных районов (городских округов) (части дотаций) дополнительным нормативом отчислений от налога на доходы физических лиц, подлежащего зачислению в областной бюджет, на срок не менее трех лет должны быть приняты до 25 октября текущего года.</w:t>
      </w:r>
    </w:p>
    <w:p>
      <w:pPr>
        <w:pStyle w:val="0"/>
        <w:spacing w:before="200" w:line-rule="auto"/>
        <w:ind w:firstLine="540"/>
        <w:jc w:val="both"/>
      </w:pPr>
      <w:r>
        <w:rPr>
          <w:sz w:val="20"/>
        </w:rPr>
        <w:t xml:space="preserve">В целях стимулирования роста доходного потенциала муниципальных образований области, повышения финансовой самостоятельности местных бюджетов с 2020 года муниципальным образованиям переданы дополнительные нормативы отчислений от налоговых и неналоговых доходов, в том числе:</w:t>
      </w:r>
    </w:p>
    <w:p>
      <w:pPr>
        <w:pStyle w:val="0"/>
        <w:spacing w:before="200" w:line-rule="auto"/>
        <w:ind w:firstLine="540"/>
        <w:jc w:val="both"/>
      </w:pPr>
      <w:r>
        <w:rPr>
          <w:sz w:val="20"/>
        </w:rPr>
        <w:t xml:space="preserve">- от налога, взимаемого по упрощенной системе налогообложения, - в бюджеты городских округов и муниципальных районов в размере 10% и 25% (дополнительно 10%) соответственно;</w:t>
      </w:r>
    </w:p>
    <w:p>
      <w:pPr>
        <w:pStyle w:val="0"/>
        <w:spacing w:before="200" w:line-rule="auto"/>
        <w:ind w:firstLine="540"/>
        <w:jc w:val="both"/>
      </w:pPr>
      <w:r>
        <w:rPr>
          <w:sz w:val="20"/>
        </w:rPr>
        <w:t xml:space="preserve">- от транспортного налога с физических лиц - в бюджеты городских округов в размере 50%, городских поселений - 50%, муниципальных районов от сельских поселений - 50%;</w:t>
      </w:r>
    </w:p>
    <w:p>
      <w:pPr>
        <w:pStyle w:val="0"/>
        <w:spacing w:before="200" w:line-rule="auto"/>
        <w:ind w:firstLine="540"/>
        <w:jc w:val="both"/>
      </w:pPr>
      <w:r>
        <w:rPr>
          <w:sz w:val="20"/>
        </w:rPr>
        <w:t xml:space="preserve">- от платы за негативное воздействие на окружающую среду - в бюджеты городских округов и муниципальных районов в размере 100% (дополнительно 45%).</w:t>
      </w:r>
    </w:p>
    <w:p>
      <w:pPr>
        <w:pStyle w:val="0"/>
        <w:spacing w:before="200" w:line-rule="auto"/>
        <w:ind w:firstLine="540"/>
        <w:jc w:val="both"/>
      </w:pPr>
      <w:r>
        <w:rPr>
          <w:sz w:val="20"/>
        </w:rPr>
        <w:t xml:space="preserve">В связи с отменой с 1 января 2021 года системы налогообложения в виде единого налога на вмененный доход для отдельных видов деятельности, в бюджеты городских округов и муниципальных районов установлены дифференцированные нормативы отчислений от налога, взимаемого по упрощенной системе налогообложения.</w:t>
      </w:r>
    </w:p>
    <w:p>
      <w:pPr>
        <w:pStyle w:val="0"/>
        <w:spacing w:before="200" w:line-rule="auto"/>
        <w:ind w:firstLine="540"/>
        <w:jc w:val="both"/>
      </w:pPr>
      <w:r>
        <w:rPr>
          <w:sz w:val="20"/>
        </w:rPr>
        <w:t xml:space="preserve">С 1 января 2022 года в бюджеты городских округов и муниципальных районов в размере 100% будет зачисляться налог на профессиональный доход.</w:t>
      </w:r>
    </w:p>
    <w:p>
      <w:pPr>
        <w:pStyle w:val="0"/>
        <w:spacing w:before="200" w:line-rule="auto"/>
        <w:ind w:firstLine="540"/>
        <w:jc w:val="both"/>
      </w:pPr>
      <w:r>
        <w:rPr>
          <w:sz w:val="20"/>
        </w:rPr>
        <w:t xml:space="preserve">В части софинансирования расходных обязательств муниципальных образований области планируется выделение субсидий из областного бюджета, в том числе на реализацию региональных составляющих национальных проектов в рамках государственных программ области. Софинансирование капитальных вложений в объекты муниципальной собственности будет осуществляться при наличии проектной документации, определяющей реальную стоимость строительства объектов. </w:t>
      </w:r>
      <w:hyperlink w:history="0" w:anchor="P1269" w:tooltip="ПЕРЕЧЕНЬ">
        <w:r>
          <w:rPr>
            <w:sz w:val="20"/>
            <w:color w:val="0000ff"/>
          </w:rPr>
          <w:t xml:space="preserve">Перечень</w:t>
        </w:r>
      </w:hyperlink>
      <w:r>
        <w:rPr>
          <w:sz w:val="20"/>
        </w:rPr>
        <w:t xml:space="preserve"> приоритетных направлений софинансирования расходных обязательств муниципальных образований области утвержден приложением N 8 к настоящему распоряжению.</w:t>
      </w:r>
    </w:p>
    <w:p>
      <w:pPr>
        <w:pStyle w:val="0"/>
        <w:spacing w:before="200" w:line-rule="auto"/>
        <w:ind w:firstLine="540"/>
        <w:jc w:val="both"/>
      </w:pPr>
      <w:r>
        <w:rPr>
          <w:sz w:val="20"/>
        </w:rPr>
        <w:t xml:space="preserve">В целях софинансирования расходных обязательств муниципальных образований будет продолжено предоставление иных межбюджетных трансфертов. Органам исполнительной власти области до 20 августа 2021 года следует разработать проекты законов области, устанавливающие случаи предоставления иных межбюджетных трансфертов из областного бюджета местным бюджетам на финансовое обеспечение расходных обязательств муниципальных образований.</w:t>
      </w:r>
    </w:p>
    <w:p>
      <w:pPr>
        <w:pStyle w:val="0"/>
        <w:spacing w:before="200" w:line-rule="auto"/>
        <w:ind w:firstLine="540"/>
        <w:jc w:val="both"/>
      </w:pPr>
      <w:r>
        <w:rPr>
          <w:sz w:val="20"/>
        </w:rPr>
        <w:t xml:space="preserve">Финансовое обеспечение осуществления государственных полномочий, переданных органам местного самоуправления области, будет осуществляться за счет субвенций, выделяемых из областного бюджета. С целью обеспечения достаточности средств областного бюджета, направляемых муниципальным образованиям на исполнение переданных полномочий, органам исполнительной власти области в срок до 10 августа текущего года необходимо провести сверку исходных данных для расчета объемов субвенций с местными администрациями.</w:t>
      </w:r>
    </w:p>
    <w:p>
      <w:pPr>
        <w:pStyle w:val="0"/>
        <w:spacing w:before="200" w:line-rule="auto"/>
        <w:ind w:firstLine="540"/>
        <w:jc w:val="both"/>
      </w:pPr>
      <w:r>
        <w:rPr>
          <w:sz w:val="20"/>
        </w:rPr>
        <w:t xml:space="preserve">В условиях ограниченности бюджетных ресурсов и имеющихся рисков несбалансированности бюджетов межбюджетные отношения будут направлены на усиление ответственности органов местного самоуправления области за проводимую бюджетную политику в части:</w:t>
      </w:r>
    </w:p>
    <w:p>
      <w:pPr>
        <w:pStyle w:val="0"/>
        <w:spacing w:before="200" w:line-rule="auto"/>
        <w:ind w:firstLine="540"/>
        <w:jc w:val="both"/>
      </w:pPr>
      <w:r>
        <w:rPr>
          <w:sz w:val="20"/>
        </w:rPr>
        <w:t xml:space="preserve">соблюдения высокодотационными муниципальными образованиями области условий соглашений о мерах по повышению эффективности использования бюджетных средств и увеличению поступлений налоговых и неналоговых доходов в местные бюджеты области, заключенных в рамках выполнения условий предоставления межбюджетных трансфертов из областного бюджета;</w:t>
      </w:r>
    </w:p>
    <w:p>
      <w:pPr>
        <w:pStyle w:val="0"/>
        <w:spacing w:before="200" w:line-rule="auto"/>
        <w:ind w:firstLine="540"/>
        <w:jc w:val="both"/>
      </w:pPr>
      <w:r>
        <w:rPr>
          <w:sz w:val="20"/>
        </w:rPr>
        <w:t xml:space="preserve">проведения взвешенной долговой и бюджетной политики;</w:t>
      </w:r>
    </w:p>
    <w:p>
      <w:pPr>
        <w:pStyle w:val="0"/>
        <w:spacing w:before="200" w:line-rule="auto"/>
        <w:ind w:firstLine="540"/>
        <w:jc w:val="both"/>
      </w:pPr>
      <w:r>
        <w:rPr>
          <w:sz w:val="20"/>
        </w:rPr>
        <w:t xml:space="preserve">безусловного исполнения принятых расходных обязательств.</w:t>
      </w:r>
    </w:p>
    <w:p>
      <w:pPr>
        <w:pStyle w:val="0"/>
        <w:spacing w:before="200" w:line-rule="auto"/>
        <w:ind w:firstLine="540"/>
        <w:jc w:val="both"/>
      </w:pPr>
      <w:r>
        <w:rPr>
          <w:sz w:val="20"/>
        </w:rPr>
        <w:t xml:space="preserve">Для анализа результатов проводимой работы должен быть продолжен ежемесячный мониторинг исполнения бюджетов муниципальных образований области, а также ежегодная оценка качества управления муниципальными финансами с учетом достижения результатов региональных составляющих национальных проектов и "горизонтальных субсидий", предоставляемых одним муниципальным образованием другому муниципальному образованию.</w:t>
      </w:r>
    </w:p>
    <w:p>
      <w:pPr>
        <w:pStyle w:val="0"/>
        <w:jc w:val="both"/>
      </w:pPr>
      <w:r>
        <w:rPr>
          <w:sz w:val="20"/>
        </w:rPr>
      </w:r>
    </w:p>
    <w:p>
      <w:pPr>
        <w:pStyle w:val="2"/>
        <w:outlineLvl w:val="1"/>
        <w:jc w:val="center"/>
      </w:pPr>
      <w:r>
        <w:rPr>
          <w:sz w:val="20"/>
        </w:rPr>
        <w:t xml:space="preserve">3. Основные подходы к формированию бюджетных расходов</w:t>
      </w:r>
    </w:p>
    <w:p>
      <w:pPr>
        <w:pStyle w:val="2"/>
        <w:jc w:val="center"/>
      </w:pPr>
      <w:r>
        <w:rPr>
          <w:sz w:val="20"/>
        </w:rPr>
        <w:t xml:space="preserve">на 2022 - 2024 годы</w:t>
      </w:r>
    </w:p>
    <w:p>
      <w:pPr>
        <w:pStyle w:val="0"/>
        <w:jc w:val="both"/>
      </w:pPr>
      <w:r>
        <w:rPr>
          <w:sz w:val="20"/>
        </w:rPr>
      </w:r>
    </w:p>
    <w:p>
      <w:pPr>
        <w:pStyle w:val="0"/>
        <w:ind w:firstLine="540"/>
        <w:jc w:val="both"/>
      </w:pPr>
      <w:r>
        <w:rPr>
          <w:sz w:val="20"/>
        </w:rPr>
        <w:t xml:space="preserve">Основой для формирования расходов областного бюджета является реестр действующих расходных обязательств Владимирской области на 2022 - 2024 годы.</w:t>
      </w:r>
    </w:p>
    <w:p>
      <w:pPr>
        <w:pStyle w:val="0"/>
        <w:spacing w:before="200" w:line-rule="auto"/>
        <w:ind w:firstLine="540"/>
        <w:jc w:val="both"/>
      </w:pPr>
      <w:r>
        <w:rPr>
          <w:sz w:val="20"/>
        </w:rPr>
        <w:t xml:space="preserve">Безвозмездные поступления в областной бюджет на 2022 - 2024 годы планируется включать в доходы и расходы областного бюджета в соответствии с показателями федерального бюджета на 2021 - 2023 годы, на 2024 год - по предложениям главных администраторов доходов областного бюджета.</w:t>
      </w:r>
    </w:p>
    <w:p>
      <w:pPr>
        <w:pStyle w:val="0"/>
        <w:spacing w:before="200" w:line-rule="auto"/>
        <w:ind w:firstLine="540"/>
        <w:jc w:val="both"/>
      </w:pPr>
      <w:r>
        <w:rPr>
          <w:sz w:val="20"/>
        </w:rPr>
        <w:t xml:space="preserve">Предельные объемы бюджетных ассигнований областного бюджета на 2022 - 2024 годы сформированы на основе следующих основных подходов:</w:t>
      </w:r>
    </w:p>
    <w:p>
      <w:pPr>
        <w:pStyle w:val="0"/>
        <w:spacing w:before="200" w:line-rule="auto"/>
        <w:ind w:firstLine="540"/>
        <w:jc w:val="both"/>
      </w:pPr>
      <w:r>
        <w:rPr>
          <w:sz w:val="20"/>
        </w:rPr>
        <w:t xml:space="preserve">1) объемы бюджетных ассигнований на исполнение действующих расходных обязательств на 2022 - 2024 годы определены в соответствии с данными реестра расходных обязательств, составленного главными распорядителями средств областного бюджета (далее - главные распорядители). При этом по сравнению с законодательно утвержденным объемом бюджетных ассигнований, бюджетные ассигнования на исполнение текущих расходных обязательств области в 2022 и 2023 годах увеличены до объемов, предусмотренных в 2021 году </w:t>
      </w:r>
      <w:hyperlink w:history="0" r:id="rId66" w:tooltip="Закон Владимирской области от 22.12.2020 N 130-ОЗ (ред. от 15.10.2021) &quot;Об областном бюджете на 2021 год и на плановый период 2022 и 2023 годов&quot; (принят постановлением ЗС Владимирской области от 14.12.2020 N 350) {КонсультантПлюс}">
        <w:r>
          <w:rPr>
            <w:sz w:val="20"/>
            <w:color w:val="0000ff"/>
          </w:rPr>
          <w:t xml:space="preserve">Законом</w:t>
        </w:r>
      </w:hyperlink>
      <w:r>
        <w:rPr>
          <w:sz w:val="20"/>
        </w:rPr>
        <w:t xml:space="preserve"> области от 22 декабря 2020 г. N 130-ОЗ "Об областном бюджете на 2021 год и на плановый период 2022 и 2023 годов" (в ред. Закона от 23 апреля 2021 г. N 35-ОЗ). В составе действующих расходных обязательств расходы капитального характера в 2022 и 2023 годах соответствуют объемам, утвержденным </w:t>
      </w:r>
      <w:hyperlink w:history="0" r:id="rId67" w:tooltip="Закон Владимирской области от 22.12.2020 N 130-ОЗ (ред. от 15.10.2021) &quot;Об областном бюджете на 2021 год и на плановый период 2022 и 2023 годов&quot; (принят постановлением ЗС Владимирской области от 14.12.2020 N 350) {КонсультантПлюс}">
        <w:r>
          <w:rPr>
            <w:sz w:val="20"/>
            <w:color w:val="0000ff"/>
          </w:rPr>
          <w:t xml:space="preserve">Законом</w:t>
        </w:r>
      </w:hyperlink>
      <w:r>
        <w:rPr>
          <w:sz w:val="20"/>
        </w:rPr>
        <w:t xml:space="preserve"> области от 22 декабря 2020 г. N 130-ОЗ (в ред. Закона от 23 апреля 2021 г. N 35-ОЗ). Бюджетные ассигнования на завершение строительства (реконструкции) ранее начатых объектов областной собственности должны быть предусмотрены в проекте областного бюджета в первоочередном порядке и в полном объеме;</w:t>
      </w:r>
    </w:p>
    <w:p>
      <w:pPr>
        <w:pStyle w:val="0"/>
        <w:spacing w:before="200" w:line-rule="auto"/>
        <w:ind w:firstLine="540"/>
        <w:jc w:val="both"/>
      </w:pPr>
      <w:r>
        <w:rPr>
          <w:sz w:val="20"/>
        </w:rPr>
        <w:t xml:space="preserve">объемы расходов на 2024 год приняты с учетом:</w:t>
      </w:r>
    </w:p>
    <w:p>
      <w:pPr>
        <w:pStyle w:val="0"/>
        <w:spacing w:before="200" w:line-rule="auto"/>
        <w:ind w:firstLine="540"/>
        <w:jc w:val="both"/>
      </w:pPr>
      <w:r>
        <w:rPr>
          <w:sz w:val="20"/>
        </w:rPr>
        <w:t xml:space="preserve">сохранения длящихся расходных обязательств области на уровне объемов бюджетных ассигнований 2023 года;</w:t>
      </w:r>
    </w:p>
    <w:p>
      <w:pPr>
        <w:pStyle w:val="0"/>
        <w:spacing w:before="200" w:line-rule="auto"/>
        <w:ind w:firstLine="540"/>
        <w:jc w:val="both"/>
      </w:pPr>
      <w:r>
        <w:rPr>
          <w:sz w:val="20"/>
        </w:rPr>
        <w:t xml:space="preserve">исключения прекращающихся расходных обязательств области ограниченного срока действия;</w:t>
      </w:r>
    </w:p>
    <w:p>
      <w:pPr>
        <w:pStyle w:val="0"/>
        <w:spacing w:before="200" w:line-rule="auto"/>
        <w:ind w:firstLine="540"/>
        <w:jc w:val="both"/>
      </w:pPr>
      <w:r>
        <w:rPr>
          <w:sz w:val="20"/>
        </w:rPr>
        <w:t xml:space="preserve">2) объемы бюджетных ассигнований на исполнение изменения действующих расходных обязательств определены в соответствии нормативными правовыми актами области, принятыми и действующими в 2021 году;</w:t>
      </w:r>
    </w:p>
    <w:p>
      <w:pPr>
        <w:pStyle w:val="0"/>
        <w:spacing w:before="200" w:line-rule="auto"/>
        <w:ind w:firstLine="540"/>
        <w:jc w:val="both"/>
      </w:pPr>
      <w:r>
        <w:rPr>
          <w:sz w:val="20"/>
        </w:rPr>
        <w:t xml:space="preserve">3) в составе принимаемых обязательств предусмотрены бюджетные ассигнования:</w:t>
      </w:r>
    </w:p>
    <w:p>
      <w:pPr>
        <w:pStyle w:val="0"/>
        <w:spacing w:before="200" w:line-rule="auto"/>
        <w:ind w:firstLine="540"/>
        <w:jc w:val="both"/>
      </w:pPr>
      <w:r>
        <w:rPr>
          <w:sz w:val="20"/>
        </w:rPr>
        <w:t xml:space="preserve">а) на повышение оплаты труда отдельных категорий работников учреждений здравоохранения, социального обеспечения населения, образования и культуры до уровня целевых показателей указов Президента Российской Федерации (2012 года);</w:t>
      </w:r>
    </w:p>
    <w:p>
      <w:pPr>
        <w:pStyle w:val="0"/>
        <w:spacing w:before="200" w:line-rule="auto"/>
        <w:ind w:firstLine="540"/>
        <w:jc w:val="both"/>
      </w:pPr>
      <w:r>
        <w:rPr>
          <w:sz w:val="20"/>
        </w:rPr>
        <w:t xml:space="preserve">б) на индексацию на уровень не ниже инфляции с 1 января 2022 года:</w:t>
      </w:r>
    </w:p>
    <w:p>
      <w:pPr>
        <w:pStyle w:val="0"/>
        <w:spacing w:before="200" w:line-rule="auto"/>
        <w:ind w:firstLine="540"/>
        <w:jc w:val="both"/>
      </w:pPr>
      <w:r>
        <w:rPr>
          <w:sz w:val="20"/>
        </w:rPr>
        <w:t xml:space="preserve">- заработной платы работников, не подпадающих под действие указов Президента Российской Федерации (2012 года);</w:t>
      </w:r>
    </w:p>
    <w:p>
      <w:pPr>
        <w:pStyle w:val="0"/>
        <w:spacing w:before="200" w:line-rule="auto"/>
        <w:ind w:firstLine="540"/>
        <w:jc w:val="both"/>
      </w:pPr>
      <w:r>
        <w:rPr>
          <w:sz w:val="20"/>
        </w:rPr>
        <w:t xml:space="preserve">- социальных выплат населению;</w:t>
      </w:r>
    </w:p>
    <w:p>
      <w:pPr>
        <w:pStyle w:val="0"/>
        <w:spacing w:before="200" w:line-rule="auto"/>
        <w:ind w:firstLine="540"/>
        <w:jc w:val="both"/>
      </w:pPr>
      <w:r>
        <w:rPr>
          <w:sz w:val="20"/>
        </w:rPr>
        <w:t xml:space="preserve">- текущих расходов в части оплаты коммунальных услуг;</w:t>
      </w:r>
    </w:p>
    <w:p>
      <w:pPr>
        <w:pStyle w:val="0"/>
        <w:spacing w:before="200" w:line-rule="auto"/>
        <w:ind w:firstLine="540"/>
        <w:jc w:val="both"/>
      </w:pPr>
      <w:r>
        <w:rPr>
          <w:sz w:val="20"/>
        </w:rPr>
        <w:t xml:space="preserve">- дотации на выравнивание бюджетной обеспеченности муниципальных районов (городских округов);</w:t>
      </w:r>
    </w:p>
    <w:p>
      <w:pPr>
        <w:pStyle w:val="0"/>
        <w:spacing w:before="200" w:line-rule="auto"/>
        <w:ind w:firstLine="540"/>
        <w:jc w:val="both"/>
      </w:pPr>
      <w:r>
        <w:rPr>
          <w:sz w:val="20"/>
        </w:rPr>
        <w:t xml:space="preserve">- расходов на приобретение лекарственных препаратов для отдельных категорий граждан;</w:t>
      </w:r>
    </w:p>
    <w:p>
      <w:pPr>
        <w:pStyle w:val="0"/>
        <w:spacing w:before="200" w:line-rule="auto"/>
        <w:ind w:firstLine="540"/>
        <w:jc w:val="both"/>
      </w:pPr>
      <w:r>
        <w:rPr>
          <w:sz w:val="20"/>
        </w:rPr>
        <w:t xml:space="preserve">в) на приобретение лекарственных препаратов для вновь выявленных больных пациентов, в том числе страдающих редкими (орфанными) заболеваниями;</w:t>
      </w:r>
    </w:p>
    <w:p>
      <w:pPr>
        <w:pStyle w:val="0"/>
        <w:spacing w:before="200" w:line-rule="auto"/>
        <w:ind w:firstLine="540"/>
        <w:jc w:val="both"/>
      </w:pPr>
      <w:r>
        <w:rPr>
          <w:sz w:val="20"/>
        </w:rPr>
        <w:t xml:space="preserve">г) на индексацию на уровень не ниже инфляции с 1 сентября 2022 года стипендий студентам областных государственных учреждений среднего профессионального образования;</w:t>
      </w:r>
    </w:p>
    <w:p>
      <w:pPr>
        <w:pStyle w:val="0"/>
        <w:spacing w:before="200" w:line-rule="auto"/>
        <w:ind w:firstLine="540"/>
        <w:jc w:val="both"/>
      </w:pPr>
      <w:r>
        <w:rPr>
          <w:sz w:val="20"/>
        </w:rPr>
        <w:t xml:space="preserve">д) на увеличение объема единой субвенции на дошкольное и общее образование в связи с ростом числа учащихся школ и уточнением числа воспитанников детских дошкольных учреждений;</w:t>
      </w:r>
    </w:p>
    <w:p>
      <w:pPr>
        <w:pStyle w:val="0"/>
        <w:spacing w:before="200" w:line-rule="auto"/>
        <w:ind w:firstLine="540"/>
        <w:jc w:val="both"/>
      </w:pPr>
      <w:r>
        <w:rPr>
          <w:sz w:val="20"/>
        </w:rPr>
        <w:t xml:space="preserve">е) на укрепление материально-технической базы областных учреждений здравоохранения и службы занятости, муниципальных учреждений образования, культуры, спорта;</w:t>
      </w:r>
    </w:p>
    <w:p>
      <w:pPr>
        <w:pStyle w:val="0"/>
        <w:spacing w:before="200" w:line-rule="auto"/>
        <w:ind w:firstLine="540"/>
        <w:jc w:val="both"/>
      </w:pPr>
      <w:r>
        <w:rPr>
          <w:sz w:val="20"/>
        </w:rPr>
        <w:t xml:space="preserve">ж) на оплату почтовых знаков и курьерской доставки для пересылки судебной корреспонденции аппаратом мировых судей;</w:t>
      </w:r>
    </w:p>
    <w:p>
      <w:pPr>
        <w:pStyle w:val="0"/>
        <w:spacing w:before="200" w:line-rule="auto"/>
        <w:ind w:firstLine="540"/>
        <w:jc w:val="both"/>
      </w:pPr>
      <w:r>
        <w:rPr>
          <w:sz w:val="20"/>
        </w:rPr>
        <w:t xml:space="preserve">з) на участие области в федеральных и национальных проектах, государственных программах Российской Федерации;</w:t>
      </w:r>
    </w:p>
    <w:p>
      <w:pPr>
        <w:pStyle w:val="0"/>
        <w:spacing w:before="200" w:line-rule="auto"/>
        <w:ind w:firstLine="540"/>
        <w:jc w:val="both"/>
      </w:pPr>
      <w:r>
        <w:rPr>
          <w:sz w:val="20"/>
        </w:rPr>
        <w:t xml:space="preserve">и) на реализацию новых инфраструктурных проектов по строительству объектов социальной сферы, жилищно-коммунального и дорожного хозяйства, промышленности.</w:t>
      </w:r>
    </w:p>
    <w:p>
      <w:pPr>
        <w:pStyle w:val="0"/>
        <w:spacing w:before="200" w:line-rule="auto"/>
        <w:ind w:firstLine="540"/>
        <w:jc w:val="both"/>
      </w:pPr>
      <w:r>
        <w:rPr>
          <w:sz w:val="20"/>
        </w:rPr>
        <w:t xml:space="preserve">Бюджетные ассигнования на исполнение новых расходных обязательств области капитального характера (строительство (реконструкция) объектов областной (муниципальной) собственности; капитальный ремонт объектов областной собственности) подлежат включению в проект областного бюджета на 2022 - 2024 годы при наличии актуальной проектной документации с государственной экспертизой по состоянию на 1 августа 2021 года, при наличии отвода земельного участка под строительство, а также с учетом заключения Департамента архитектуры и строительства области о полноте и актуальности проектной документации по объектам строительства (реконструкции) областной (муниципальной) собственности;</w:t>
      </w:r>
    </w:p>
    <w:p>
      <w:pPr>
        <w:pStyle w:val="0"/>
        <w:spacing w:before="200" w:line-rule="auto"/>
        <w:ind w:firstLine="540"/>
        <w:jc w:val="both"/>
      </w:pPr>
      <w:r>
        <w:rPr>
          <w:sz w:val="20"/>
        </w:rPr>
        <w:t xml:space="preserve">4) в соответствии со </w:t>
      </w:r>
      <w:hyperlink w:history="0" r:id="rId68" w:tooltip="&quot;Бюджетный кодекс Российской Федерации&quot; от 31.07.1998 N 145-ФЗ (ред. от 19.12.2022) ------------ Недействующая редакция {КонсультантПлюс}">
        <w:r>
          <w:rPr>
            <w:sz w:val="20"/>
            <w:color w:val="0000ff"/>
          </w:rPr>
          <w:t xml:space="preserve">статьей 184.1</w:t>
        </w:r>
      </w:hyperlink>
      <w:r>
        <w:rPr>
          <w:sz w:val="20"/>
        </w:rPr>
        <w:t xml:space="preserve"> Бюджетного кодекса Российской Федерации в составе расходов областного бюджета предусмотрены условно утверждаемые расходы, которые составят в 2023 году не менее 2,5% от общего объема расходов 2023 года (без учета расходов, предусмотренных за счет целевых межбюджетных трансфертов из других бюджетов), и в 2024 году - не менее 5% от общего объема расходов 2024 года (без учета расходов, предусмотренных за счет целевых межбюджетных трансфертов из других бюджетов);</w:t>
      </w:r>
    </w:p>
    <w:p>
      <w:pPr>
        <w:pStyle w:val="0"/>
        <w:spacing w:before="200" w:line-rule="auto"/>
        <w:ind w:firstLine="540"/>
        <w:jc w:val="both"/>
      </w:pPr>
      <w:r>
        <w:rPr>
          <w:sz w:val="20"/>
        </w:rPr>
        <w:t xml:space="preserve">5) объем бюджетных ассигнований по отношению к объему, утвержденному настоящим распоряжением, может быть изменен на суммы безвозмездных поступлений из федерального бюджета и перераспределен между главными распорядителями средств областного бюджета в случае изменения их функций и полномочий.</w:t>
      </w:r>
    </w:p>
    <w:p>
      <w:pPr>
        <w:pStyle w:val="0"/>
        <w:spacing w:before="200" w:line-rule="auto"/>
        <w:ind w:firstLine="540"/>
        <w:jc w:val="both"/>
      </w:pPr>
      <w:r>
        <w:rPr>
          <w:sz w:val="20"/>
        </w:rPr>
        <w:t xml:space="preserve">На данном этапе составления бюджетных проектировок на 2022 - 2024 годы сформирован предельно допустимый в соответствии с Бюджетным </w:t>
      </w:r>
      <w:hyperlink w:history="0" r:id="rId69" w:tooltip="&quot;Бюджетный кодекс Российской Федерации&quot; от 31.07.1998 N 145-ФЗ (ред. от 19.12.2022) ------------ Недействующая редакция {КонсультантПлюс}">
        <w:r>
          <w:rPr>
            <w:sz w:val="20"/>
            <w:color w:val="0000ff"/>
          </w:rPr>
          <w:t xml:space="preserve">кодексом</w:t>
        </w:r>
      </w:hyperlink>
      <w:r>
        <w:rPr>
          <w:sz w:val="20"/>
        </w:rPr>
        <w:t xml:space="preserve"> Российской Федерации дефицит областного бюджета. Окончательное решение по размеру дефицита должно быть принято в законе области об областном бюджете на 2022 - 2024 годы, после уточнения объемов налоговых и неналоговых доходов областного бюджета и безвозмездных поступлений из федерального бюджета.</w:t>
      </w:r>
    </w:p>
    <w:p>
      <w:pPr>
        <w:pStyle w:val="0"/>
        <w:spacing w:before="200" w:line-rule="auto"/>
        <w:ind w:firstLine="540"/>
        <w:jc w:val="both"/>
      </w:pPr>
      <w:r>
        <w:rPr>
          <w:sz w:val="20"/>
        </w:rPr>
        <w:t xml:space="preserve">В ходе формирования проекта областного бюджета на 2022 - 2024 годы, в целях выполнения условий реструктуризации обязательств по бюджетным кредитам, полученным из федерального бюджета, утвержденных </w:t>
      </w:r>
      <w:hyperlink w:history="0" r:id="rId70" w:tooltip="Закон Владимирской области от 05.10.2020 N 66-ОЗ &quot;Об утверждении дополнительных соглашений к Соглашениям о предоставлении бюджету Владимирской области из федерального бюджета бюджетного кредита для частичного покрытия дефицита бюджета Владимирской области, заключенных между Министерством финансов Российской Федерации и департаментом финансов, бюджетной и налоговой политики администрации Владимирской области&quot; (принят постановлением ЗС Владимирской области от 24.09.2020 N 227) {КонсультантПлюс}">
        <w:r>
          <w:rPr>
            <w:sz w:val="20"/>
            <w:color w:val="0000ff"/>
          </w:rPr>
          <w:t xml:space="preserve">Законом</w:t>
        </w:r>
      </w:hyperlink>
      <w:r>
        <w:rPr>
          <w:sz w:val="20"/>
        </w:rPr>
        <w:t xml:space="preserve"> области от 5 октября 2020 г. N 66-ОЗ, главным администраторам доходов областного бюджета необходимо продолжить работу по уточнению прогноза налоговых и неналоговых доходов и по привлечению дополнительных средств из федерального бюджета.</w:t>
      </w:r>
    </w:p>
    <w:p>
      <w:pPr>
        <w:pStyle w:val="0"/>
        <w:spacing w:before="200" w:line-rule="auto"/>
        <w:ind w:firstLine="540"/>
        <w:jc w:val="both"/>
      </w:pPr>
      <w:r>
        <w:rPr>
          <w:sz w:val="20"/>
        </w:rPr>
        <w:t xml:space="preserve">Главным распорядителям средств областного бюджета по согласованию с первыми заместителями Губернатора области и заместителями Губернатора области (в соответствии с распределением обязанностей) при подготовке проекта областного бюджета на 2022 год и на плановый период 2023 и 2024 годов:</w:t>
      </w:r>
    </w:p>
    <w:p>
      <w:pPr>
        <w:pStyle w:val="0"/>
        <w:spacing w:before="200" w:line-rule="auto"/>
        <w:ind w:firstLine="540"/>
        <w:jc w:val="both"/>
      </w:pPr>
      <w:r>
        <w:rPr>
          <w:sz w:val="20"/>
        </w:rPr>
        <w:t xml:space="preserve">1) в срок до 20 августа 2021 года направить заявки (с расчетами и обоснованиями) в федеральные органы исполнительной власти на участие области в реализации федеральных государственных программ и национальных проектов и в срок до 30 августа 2021 года предварительно согласовать в установленном порядке проекты соглашений о предоставлении субсидий бюджету Владимирской области из федерального бюджета на 2022 - 2024 годы;</w:t>
      </w:r>
    </w:p>
    <w:p>
      <w:pPr>
        <w:pStyle w:val="0"/>
        <w:spacing w:before="200" w:line-rule="auto"/>
        <w:ind w:firstLine="540"/>
        <w:jc w:val="both"/>
      </w:pPr>
      <w:r>
        <w:rPr>
          <w:sz w:val="20"/>
        </w:rPr>
        <w:t xml:space="preserve">2) в срок до 20 августа 2021 года провести сверку исходных данных для расчета объема дотации на выравнивание бюджетной обеспеченности субъектов Российской Федерации на 2022 - 2024 годы в части расчетных объемов расходных обязательств области на осуществление полномочий по предметам ведения субъектов Российской Федерации и по предметам совместного ведения Российской Федерации и субъектов Российской Федерации, исчисляемых по правилам, утвержденным </w:t>
      </w:r>
      <w:hyperlink w:history="0" r:id="rId71" w:tooltip="Постановление Правительства РФ от 22.11.2004 N 670 (ред. от 24.12.2021) &quot;О распределении дотаций на выравнивание бюджетной обеспеченности субъектов Российской Федерации&quot; (вместе с &quot;Методикой распределения дотаций на выравнивание бюджетной обеспеченности субъектов Российской Федерации&quot;) ------------ Недействующая редакция {КонсультантПлюс}">
        <w:r>
          <w:rPr>
            <w:sz w:val="20"/>
            <w:color w:val="0000ff"/>
          </w:rPr>
          <w:t xml:space="preserve">постановлением</w:t>
        </w:r>
      </w:hyperlink>
      <w:r>
        <w:rPr>
          <w:sz w:val="20"/>
        </w:rPr>
        <w:t xml:space="preserve"> Правительства Российской Федерации от 22 ноября 2004 г. N 670 "О распределении дотаций на выравнивание бюджетной обеспеченности субъектов Российской Федерации";</w:t>
      </w:r>
    </w:p>
    <w:p>
      <w:pPr>
        <w:pStyle w:val="0"/>
        <w:spacing w:before="200" w:line-rule="auto"/>
        <w:ind w:firstLine="540"/>
        <w:jc w:val="both"/>
      </w:pPr>
      <w:r>
        <w:rPr>
          <w:sz w:val="20"/>
        </w:rPr>
        <w:t xml:space="preserve">3) в срок до 1 сентября 2021 года:</w:t>
      </w:r>
    </w:p>
    <w:p>
      <w:pPr>
        <w:pStyle w:val="0"/>
        <w:spacing w:before="200" w:line-rule="auto"/>
        <w:ind w:firstLine="540"/>
        <w:jc w:val="both"/>
      </w:pPr>
      <w:r>
        <w:rPr>
          <w:sz w:val="20"/>
        </w:rPr>
        <w:t xml:space="preserve">- проработать вопросы реализации новых инвестиционных и инфраструктурных проектов по строительству объектов социальной сферы, отраслей промышленности, жилищно-коммунального хозяйства и объектов в сфере дорожного строительства, в том числе с использованием новых механизмов финансирования инфраструктурных проектов (инфраструктурных бюджетных кредитов, гарантий по облигационным займам);</w:t>
      </w:r>
    </w:p>
    <w:p>
      <w:pPr>
        <w:pStyle w:val="0"/>
        <w:spacing w:before="200" w:line-rule="auto"/>
        <w:ind w:firstLine="540"/>
        <w:jc w:val="both"/>
      </w:pPr>
      <w:r>
        <w:rPr>
          <w:sz w:val="20"/>
        </w:rPr>
        <w:t xml:space="preserve">- представить в департамент финансов, бюджетной и налоговой политики администрации области обоснования бюджетных ассигнований на исполнение указанных новых инвестиционных и инфраструктурных проектов. По инфраструктурным проектам - планируемые способы их реализации (привлечение инфраструктурных бюджетных кредитов, предоставление гарантий по облигационным займам) в целях формирования предельного объема государственного внутреннего долга области на 2022 - 2024 годы;</w:t>
      </w:r>
    </w:p>
    <w:p>
      <w:pPr>
        <w:pStyle w:val="0"/>
        <w:spacing w:before="200" w:line-rule="auto"/>
        <w:ind w:firstLine="540"/>
        <w:jc w:val="both"/>
      </w:pPr>
      <w:r>
        <w:rPr>
          <w:sz w:val="20"/>
        </w:rPr>
        <w:t xml:space="preserve">4) в пределах доведенных бюджетных ассигнований предусмотреть в полном объеме расходы на исполнение полномочий субъекта Российской Федерации и совместных полномочий Российской Федерации и субъектов Российской Федерации, обусловленных областными законами и (или) постановлениями администрации области, а также с учетом реализации наказов избирателей депутатам Законодательного Собрания области;</w:t>
      </w:r>
    </w:p>
    <w:p>
      <w:pPr>
        <w:pStyle w:val="0"/>
        <w:spacing w:before="200" w:line-rule="auto"/>
        <w:ind w:firstLine="540"/>
        <w:jc w:val="both"/>
      </w:pPr>
      <w:r>
        <w:rPr>
          <w:sz w:val="20"/>
        </w:rPr>
        <w:t xml:space="preserve">5) в пределах доведенных бюджетных ассигнований предусмотреть в полном объеме расходы на реализацию региональных составляющих национальных проектов в целях достижения контрольных точек по реализации </w:t>
      </w:r>
      <w:hyperlink w:history="0" r:id="rId72" w:tooltip="Указ Президента РФ от 07.05.2018 N 204 (ред. от 21.07.2020) &quot;О национальных целях и стратегических задачах развития Российской Федерации на период до 2024 года&quot; {КонсультантПлюс}">
        <w:r>
          <w:rPr>
            <w:sz w:val="20"/>
            <w:color w:val="0000ff"/>
          </w:rPr>
          <w:t xml:space="preserve">Указа</w:t>
        </w:r>
      </w:hyperlink>
      <w:r>
        <w:rPr>
          <w:sz w:val="20"/>
        </w:rPr>
        <w:t xml:space="preserve"> Президента Российской Федерации от 7 мая 2018 г. N 204 "О национальных целях и стратегических задачах развития Российской Федерации на период до 2024 года", </w:t>
      </w:r>
      <w:hyperlink w:history="0" r:id="rId73" w:tooltip="Указ Президента РФ от 21.07.2020 N 474 &quot;О национальных целях развития Российской Федерации на период до 2030 года&quot; {КонсультантПлюс}">
        <w:r>
          <w:rPr>
            <w:sz w:val="20"/>
            <w:color w:val="0000ff"/>
          </w:rPr>
          <w:t xml:space="preserve">Указа</w:t>
        </w:r>
      </w:hyperlink>
      <w:r>
        <w:rPr>
          <w:sz w:val="20"/>
        </w:rPr>
        <w:t xml:space="preserve"> Президента Российской Федерации от 21 июля 2020 г. N 474 "О национальных целях развития Российской Федерации на период до 2030 года";</w:t>
      </w:r>
    </w:p>
    <w:p>
      <w:pPr>
        <w:pStyle w:val="0"/>
        <w:spacing w:before="200" w:line-rule="auto"/>
        <w:ind w:firstLine="540"/>
        <w:jc w:val="both"/>
      </w:pPr>
      <w:r>
        <w:rPr>
          <w:sz w:val="20"/>
        </w:rPr>
        <w:t xml:space="preserve">6) в соответствии с </w:t>
      </w:r>
      <w:hyperlink w:history="0" r:id="rId74" w:tooltip="&quot;Перечень поручений по итогам совещания с членами Правительства&quot; (утв. Президентом РФ 08.03.2021 N Пр-366) {КонсультантПлюс}">
        <w:r>
          <w:rPr>
            <w:sz w:val="20"/>
            <w:color w:val="0000ff"/>
          </w:rPr>
          <w:t xml:space="preserve">поручением</w:t>
        </w:r>
      </w:hyperlink>
      <w:r>
        <w:rPr>
          <w:sz w:val="20"/>
        </w:rPr>
        <w:t xml:space="preserve"> Президента Российской Федерации от 8 марта 2021 г. N Пр-366 проанализировать систему оплаты труда работников организаций бюджетной сферы в целях обеспечения соответствия уровня оплаты труда этих работников целевым показателям, установленным </w:t>
      </w:r>
      <w:hyperlink w:history="0" r:id="rId75" w:tooltip="Указ Президента РФ от 07.05.2012 N 597 &quot;О мероприятиях по реализации государственной социальной политики&quot; {КонсультантПлюс}">
        <w:r>
          <w:rPr>
            <w:sz w:val="20"/>
            <w:color w:val="0000ff"/>
          </w:rPr>
          <w:t xml:space="preserve">Указом</w:t>
        </w:r>
      </w:hyperlink>
      <w:r>
        <w:rPr>
          <w:sz w:val="20"/>
        </w:rPr>
        <w:t xml:space="preserve"> Президента Российской Федерации от 7 мая 2012 г. N 597 "О мероприятиях по реализации государственной социальной политики". Ключевое требование здесь: оплата труда в бюджетной сфере должна быть прозрачной, понятной и справедливой. Необходимо проверить, как соблюдаются нормативы, устанавливающие соотношения уровня заработных плат сотрудников и руководителей учреждений. В случае выявления проблем - провести анализ причин, подготовить и реализовать предметные решения по их устранению;</w:t>
      </w:r>
    </w:p>
    <w:p>
      <w:pPr>
        <w:pStyle w:val="0"/>
        <w:spacing w:before="200" w:line-rule="auto"/>
        <w:ind w:firstLine="540"/>
        <w:jc w:val="both"/>
      </w:pPr>
      <w:r>
        <w:rPr>
          <w:sz w:val="20"/>
        </w:rPr>
        <w:t xml:space="preserve">7) распределить все межбюджетные трансферты между муниципальными образованиями на очередной финансовый год и на плановый период законом области об областном бюджете на очередной финансовый год и плановый период (за исключением конкурсных субсидий и конкурсных иных межбюджетных трансфертов, а также субсидий, источником финансового обеспечения которых являются резервные фонды);</w:t>
      </w:r>
    </w:p>
    <w:p>
      <w:pPr>
        <w:pStyle w:val="0"/>
        <w:spacing w:before="200" w:line-rule="auto"/>
        <w:ind w:firstLine="540"/>
        <w:jc w:val="both"/>
      </w:pPr>
      <w:r>
        <w:rPr>
          <w:sz w:val="20"/>
        </w:rPr>
        <w:t xml:space="preserve">8) до 20 августа 2021 года разработать проекты законов области, устанавливающие случаи предоставления иных межбюджетных трансфертов из областного бюджета местным бюджетам на финансовое обеспечение расходных обязательств муниципальных образований;</w:t>
      </w:r>
    </w:p>
    <w:p>
      <w:pPr>
        <w:pStyle w:val="0"/>
        <w:spacing w:before="200" w:line-rule="auto"/>
        <w:ind w:firstLine="540"/>
        <w:jc w:val="both"/>
      </w:pPr>
      <w:r>
        <w:rPr>
          <w:sz w:val="20"/>
        </w:rPr>
        <w:t xml:space="preserve">9) при определении объема расходов на 2022 - 2024 годы по межбюджетным трансфертам муниципальным образованиям на повышение оплаты труда педагогических работников образовательных учреждений общего образования, дошкольных образовательных учреждений, учреждений дополнительного образования детей и работников учреждений культуры в соответствии с Указами Президента Российской Федерации от 7 мая 2012 г. </w:t>
      </w:r>
      <w:hyperlink w:history="0" r:id="rId76" w:tooltip="Указ Президента РФ от 07.05.2012 N 597 &quot;О мероприятиях по реализации государственной социальной политики&quot; {КонсультантПлюс}">
        <w:r>
          <w:rPr>
            <w:sz w:val="20"/>
            <w:color w:val="0000ff"/>
          </w:rPr>
          <w:t xml:space="preserve">N 597</w:t>
        </w:r>
      </w:hyperlink>
      <w:r>
        <w:rPr>
          <w:sz w:val="20"/>
        </w:rPr>
        <w:t xml:space="preserve"> и от 1 июня 2012 г. </w:t>
      </w:r>
      <w:hyperlink w:history="0" r:id="rId77" w:tooltip="Указ Президента РФ от 01.06.2012 N 761 &quot;О Национальной стратегии действий в интересах детей на 2012 - 2017 годы&quot; {КонсультантПлюс}">
        <w:r>
          <w:rPr>
            <w:sz w:val="20"/>
            <w:color w:val="0000ff"/>
          </w:rPr>
          <w:t xml:space="preserve">N 761</w:t>
        </w:r>
      </w:hyperlink>
      <w:r>
        <w:rPr>
          <w:sz w:val="20"/>
        </w:rPr>
        <w:t xml:space="preserve"> учитывать оптимизацию расходов на содержание административно-управленческого и вспомогательного персонала с учетом предельной доли расходов на оплату их труда в фонде оплаты труда учреждения - не более 40 процентов;</w:t>
      </w:r>
    </w:p>
    <w:p>
      <w:pPr>
        <w:pStyle w:val="0"/>
        <w:spacing w:before="200" w:line-rule="auto"/>
        <w:ind w:firstLine="540"/>
        <w:jc w:val="both"/>
      </w:pPr>
      <w:r>
        <w:rPr>
          <w:sz w:val="20"/>
        </w:rPr>
        <w:t xml:space="preserve">10) сократить количество субсидий местным бюджетам путем их объединения (укрупнения) с целью повышения самостоятельности органов местного самоуправления в принятии решений о направлении их использования;</w:t>
      </w:r>
    </w:p>
    <w:p>
      <w:pPr>
        <w:pStyle w:val="0"/>
        <w:spacing w:before="200" w:line-rule="auto"/>
        <w:ind w:firstLine="540"/>
        <w:jc w:val="both"/>
      </w:pPr>
      <w:r>
        <w:rPr>
          <w:sz w:val="20"/>
        </w:rPr>
        <w:t xml:space="preserve">11) распределить бюджетные ассигнования по бюджетным и автономным учреждениям с учетом прогнозируемых неиспользованных остатков средств на счетах подведомственных учреждений по состоянию на 1 января 2022 года;</w:t>
      </w:r>
    </w:p>
    <w:p>
      <w:pPr>
        <w:pStyle w:val="0"/>
        <w:spacing w:before="200" w:line-rule="auto"/>
        <w:ind w:firstLine="540"/>
        <w:jc w:val="both"/>
      </w:pPr>
      <w:r>
        <w:rPr>
          <w:sz w:val="20"/>
        </w:rPr>
        <w:t xml:space="preserve">12) до 20 августа 2021 года принять исчерпывающие меры по подготовке актуальной проектно-сметной документации по объектам строительства (реконструкции) объектов областной (муниципальной) собственности по состоянию на 1 августа текущего года, начало строительства которых планируется в 2022 - 2024 годах;</w:t>
      </w:r>
    </w:p>
    <w:p>
      <w:pPr>
        <w:pStyle w:val="0"/>
        <w:spacing w:before="200" w:line-rule="auto"/>
        <w:ind w:firstLine="540"/>
        <w:jc w:val="both"/>
      </w:pPr>
      <w:r>
        <w:rPr>
          <w:sz w:val="20"/>
        </w:rPr>
        <w:t xml:space="preserve">13) до 20 августа 2021 года принять исчерпывающие меры по подготовке актуальной проектной документации на капитальный ремонт объектов областной собственности по состоянию на 1 августа текущего года, капитальный ремонт которых планируется в 2022 - 2024 годах;</w:t>
      </w:r>
    </w:p>
    <w:p>
      <w:pPr>
        <w:pStyle w:val="0"/>
        <w:spacing w:before="200" w:line-rule="auto"/>
        <w:ind w:firstLine="540"/>
        <w:jc w:val="both"/>
      </w:pPr>
      <w:r>
        <w:rPr>
          <w:sz w:val="20"/>
        </w:rPr>
        <w:t xml:space="preserve">14) исходя из предельных объемов бюджетного финансирования на 2022 - 2024 годы разработать государственные программы области с учетом требований </w:t>
      </w:r>
      <w:hyperlink w:history="0" r:id="rId78" w:tooltip="Постановление Правительства РФ от 26.05.2021 N 786 (ред. от 29.10.2022) &quot;О системе управления государственными программами Российской Федерации&quot; (вместе с &quot;Положением о системе управления государственными программами Российской Федерации&quot;) ------------ Недействующая редакция {КонсультантПлюс}">
        <w:r>
          <w:rPr>
            <w:sz w:val="20"/>
            <w:color w:val="0000ff"/>
          </w:rPr>
          <w:t xml:space="preserve">постановления</w:t>
        </w:r>
      </w:hyperlink>
      <w:r>
        <w:rPr>
          <w:sz w:val="20"/>
        </w:rPr>
        <w:t xml:space="preserve"> Правительства Российской Федерации от 26 мая 2021 г. N 786 "О системе управления государственными программами Российской Федерации" и после внесения соответствующих изменений в </w:t>
      </w:r>
      <w:hyperlink w:history="0" r:id="rId79" w:tooltip="Постановление Губернатора Владимирской обл. от 24.02.2014 N 164 (ред. от 24.12.2021) &quot;О порядке разработки, формирования, реализации и оценки эффективности государственных программ Владимирской области&quot; ------------ Утратил силу или отменен {КонсультантПлюс}">
        <w:r>
          <w:rPr>
            <w:sz w:val="20"/>
            <w:color w:val="0000ff"/>
          </w:rPr>
          <w:t xml:space="preserve">постановление</w:t>
        </w:r>
      </w:hyperlink>
      <w:r>
        <w:rPr>
          <w:sz w:val="20"/>
        </w:rPr>
        <w:t xml:space="preserve"> Губернатора области от 24 февраля 2014 г. N 164 "О порядке разработки, формирования, реализации и оценки эффективности государственных программ Владимирской области", а также с учетом замечаний Счетной палаты области по результатам экспертизы исполнения в 2020 году действующих государственных программ области;</w:t>
      </w:r>
    </w:p>
    <w:p>
      <w:pPr>
        <w:pStyle w:val="0"/>
        <w:spacing w:before="200" w:line-rule="auto"/>
        <w:ind w:firstLine="540"/>
        <w:jc w:val="both"/>
      </w:pPr>
      <w:r>
        <w:rPr>
          <w:sz w:val="20"/>
        </w:rPr>
        <w:t xml:space="preserve">15) в срок до 1 января 2022 года заключить с федеральными органами исполнительной власти соглашения о предоставлении субсидий и иных межбюджетных трансфертов из федерального бюджета на 2022 год и на плановый период 2023 и 2024 годов;</w:t>
      </w:r>
    </w:p>
    <w:p>
      <w:pPr>
        <w:pStyle w:val="0"/>
        <w:spacing w:before="200" w:line-rule="auto"/>
        <w:ind w:firstLine="540"/>
        <w:jc w:val="both"/>
      </w:pPr>
      <w:r>
        <w:rPr>
          <w:sz w:val="20"/>
        </w:rPr>
        <w:t xml:space="preserve">16) подготовить в 2021 году необходимую конкурсную документацию по расходам капитального характера, в том числе осуществляемым в рамках национальных проектов, для проведения контрактации расходов до 1 марта 2022 года;</w:t>
      </w:r>
    </w:p>
    <w:p>
      <w:pPr>
        <w:pStyle w:val="0"/>
        <w:spacing w:before="200" w:line-rule="auto"/>
        <w:ind w:firstLine="540"/>
        <w:jc w:val="both"/>
      </w:pPr>
      <w:r>
        <w:rPr>
          <w:sz w:val="20"/>
        </w:rPr>
        <w:t xml:space="preserve">17) учесть заключения Счетной палаты области по итогам контрольных и экспертно-аналитических мероприятий, а также заключение по отчету об исполнении областного бюджета за 2020 год.</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3</w:t>
      </w:r>
    </w:p>
    <w:p>
      <w:pPr>
        <w:pStyle w:val="0"/>
        <w:jc w:val="right"/>
      </w:pPr>
      <w:r>
        <w:rPr>
          <w:sz w:val="20"/>
        </w:rPr>
        <w:t xml:space="preserve">к распоряжению</w:t>
      </w:r>
    </w:p>
    <w:p>
      <w:pPr>
        <w:pStyle w:val="0"/>
        <w:jc w:val="right"/>
      </w:pPr>
      <w:r>
        <w:rPr>
          <w:sz w:val="20"/>
        </w:rPr>
        <w:t xml:space="preserve">администрации</w:t>
      </w:r>
    </w:p>
    <w:p>
      <w:pPr>
        <w:pStyle w:val="0"/>
        <w:jc w:val="right"/>
      </w:pPr>
      <w:r>
        <w:rPr>
          <w:sz w:val="20"/>
        </w:rPr>
        <w:t xml:space="preserve">Владимирской области</w:t>
      </w:r>
    </w:p>
    <w:p>
      <w:pPr>
        <w:pStyle w:val="0"/>
        <w:jc w:val="right"/>
      </w:pPr>
      <w:r>
        <w:rPr>
          <w:sz w:val="20"/>
        </w:rPr>
        <w:t xml:space="preserve">от 05.07.2021 N 512-р</w:t>
      </w:r>
    </w:p>
    <w:p>
      <w:pPr>
        <w:pStyle w:val="0"/>
        <w:jc w:val="both"/>
      </w:pPr>
      <w:r>
        <w:rPr>
          <w:sz w:val="20"/>
        </w:rPr>
      </w:r>
    </w:p>
    <w:bookmarkStart w:id="665" w:name="P665"/>
    <w:bookmarkEnd w:id="665"/>
    <w:p>
      <w:pPr>
        <w:pStyle w:val="2"/>
        <w:jc w:val="center"/>
      </w:pPr>
      <w:r>
        <w:rPr>
          <w:sz w:val="20"/>
        </w:rPr>
        <w:t xml:space="preserve">ОСНОВНЫЕ ПОКАЗАТЕЛИ</w:t>
      </w:r>
    </w:p>
    <w:p>
      <w:pPr>
        <w:pStyle w:val="2"/>
        <w:jc w:val="center"/>
      </w:pPr>
      <w:r>
        <w:rPr>
          <w:sz w:val="20"/>
        </w:rPr>
        <w:t xml:space="preserve">КОНСОЛИДИРОВАННОГО БЮДЖЕТА ВЛАДИМИРСКОЙ ОБЛАСТИ</w:t>
      </w:r>
    </w:p>
    <w:p>
      <w:pPr>
        <w:pStyle w:val="2"/>
        <w:jc w:val="center"/>
      </w:pPr>
      <w:r>
        <w:rPr>
          <w:sz w:val="20"/>
        </w:rPr>
        <w:t xml:space="preserve">НА 2022 ГОД И НА ПЛАНОВЫЙ ПЕРИОД 2023 И 2024 ГОДОВ</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025"/>
        <w:gridCol w:w="1662"/>
        <w:gridCol w:w="1662"/>
        <w:gridCol w:w="1663"/>
      </w:tblGrid>
      <w:tr>
        <w:tc>
          <w:tcPr>
            <w:tcW w:w="4025" w:type="dxa"/>
            <w:vMerge w:val="restart"/>
          </w:tcPr>
          <w:p>
            <w:pPr>
              <w:pStyle w:val="0"/>
              <w:jc w:val="center"/>
            </w:pPr>
            <w:r>
              <w:rPr>
                <w:sz w:val="20"/>
              </w:rPr>
              <w:t xml:space="preserve">Показатели</w:t>
            </w:r>
          </w:p>
        </w:tc>
        <w:tc>
          <w:tcPr>
            <w:gridSpan w:val="3"/>
            <w:tcW w:w="4987" w:type="dxa"/>
          </w:tcPr>
          <w:p>
            <w:pPr>
              <w:pStyle w:val="0"/>
              <w:jc w:val="center"/>
            </w:pPr>
            <w:r>
              <w:rPr>
                <w:sz w:val="20"/>
              </w:rPr>
              <w:t xml:space="preserve">Объем в тыс. рублей</w:t>
            </w:r>
          </w:p>
        </w:tc>
      </w:tr>
      <w:tr>
        <w:tc>
          <w:tcPr>
            <w:vMerge w:val="continue"/>
          </w:tcPr>
          <w:p/>
        </w:tc>
        <w:tc>
          <w:tcPr>
            <w:tcW w:w="1662" w:type="dxa"/>
          </w:tcPr>
          <w:p>
            <w:pPr>
              <w:pStyle w:val="0"/>
              <w:jc w:val="center"/>
            </w:pPr>
            <w:r>
              <w:rPr>
                <w:sz w:val="20"/>
              </w:rPr>
              <w:t xml:space="preserve">2022 год</w:t>
            </w:r>
          </w:p>
        </w:tc>
        <w:tc>
          <w:tcPr>
            <w:tcW w:w="1662" w:type="dxa"/>
          </w:tcPr>
          <w:p>
            <w:pPr>
              <w:pStyle w:val="0"/>
              <w:jc w:val="center"/>
            </w:pPr>
            <w:r>
              <w:rPr>
                <w:sz w:val="20"/>
              </w:rPr>
              <w:t xml:space="preserve">2023 год</w:t>
            </w:r>
          </w:p>
        </w:tc>
        <w:tc>
          <w:tcPr>
            <w:tcW w:w="1663" w:type="dxa"/>
          </w:tcPr>
          <w:p>
            <w:pPr>
              <w:pStyle w:val="0"/>
              <w:jc w:val="center"/>
            </w:pPr>
            <w:r>
              <w:rPr>
                <w:sz w:val="20"/>
              </w:rPr>
              <w:t xml:space="preserve">2024 год</w:t>
            </w:r>
          </w:p>
        </w:tc>
      </w:tr>
      <w:tr>
        <w:tc>
          <w:tcPr>
            <w:gridSpan w:val="4"/>
            <w:tcW w:w="9012" w:type="dxa"/>
          </w:tcPr>
          <w:p>
            <w:pPr>
              <w:pStyle w:val="0"/>
              <w:jc w:val="center"/>
            </w:pPr>
            <w:r>
              <w:rPr>
                <w:sz w:val="20"/>
              </w:rPr>
              <w:t xml:space="preserve">Консолидированный бюджет Владимирской области</w:t>
            </w:r>
          </w:p>
        </w:tc>
      </w:tr>
      <w:tr>
        <w:tc>
          <w:tcPr>
            <w:tcW w:w="4025" w:type="dxa"/>
          </w:tcPr>
          <w:p>
            <w:pPr>
              <w:pStyle w:val="0"/>
            </w:pPr>
            <w:r>
              <w:rPr>
                <w:sz w:val="20"/>
              </w:rPr>
              <w:t xml:space="preserve">Доходы - всего</w:t>
            </w:r>
          </w:p>
        </w:tc>
        <w:tc>
          <w:tcPr>
            <w:tcW w:w="1662" w:type="dxa"/>
          </w:tcPr>
          <w:p>
            <w:pPr>
              <w:pStyle w:val="0"/>
              <w:jc w:val="center"/>
            </w:pPr>
            <w:r>
              <w:rPr>
                <w:sz w:val="20"/>
              </w:rPr>
              <w:t xml:space="preserve">87502247,1</w:t>
            </w:r>
          </w:p>
        </w:tc>
        <w:tc>
          <w:tcPr>
            <w:tcW w:w="1662" w:type="dxa"/>
          </w:tcPr>
          <w:p>
            <w:pPr>
              <w:pStyle w:val="0"/>
              <w:jc w:val="center"/>
            </w:pPr>
            <w:r>
              <w:rPr>
                <w:sz w:val="20"/>
              </w:rPr>
              <w:t xml:space="preserve">89957936,0</w:t>
            </w:r>
          </w:p>
        </w:tc>
        <w:tc>
          <w:tcPr>
            <w:tcW w:w="1663" w:type="dxa"/>
          </w:tcPr>
          <w:p>
            <w:pPr>
              <w:pStyle w:val="0"/>
              <w:jc w:val="center"/>
            </w:pPr>
            <w:r>
              <w:rPr>
                <w:sz w:val="20"/>
              </w:rPr>
              <w:t xml:space="preserve">92691051,3</w:t>
            </w:r>
          </w:p>
        </w:tc>
      </w:tr>
      <w:tr>
        <w:tc>
          <w:tcPr>
            <w:tcW w:w="4025" w:type="dxa"/>
          </w:tcPr>
          <w:p>
            <w:pPr>
              <w:pStyle w:val="0"/>
            </w:pPr>
            <w:r>
              <w:rPr>
                <w:sz w:val="20"/>
              </w:rPr>
              <w:t xml:space="preserve">в том числе:</w:t>
            </w:r>
          </w:p>
        </w:tc>
        <w:tc>
          <w:tcPr>
            <w:tcW w:w="1662" w:type="dxa"/>
          </w:tcPr>
          <w:p>
            <w:pPr>
              <w:pStyle w:val="0"/>
            </w:pPr>
            <w:r>
              <w:rPr>
                <w:sz w:val="20"/>
              </w:rPr>
            </w:r>
          </w:p>
        </w:tc>
        <w:tc>
          <w:tcPr>
            <w:tcW w:w="1662" w:type="dxa"/>
          </w:tcPr>
          <w:p>
            <w:pPr>
              <w:pStyle w:val="0"/>
            </w:pPr>
            <w:r>
              <w:rPr>
                <w:sz w:val="20"/>
              </w:rPr>
            </w:r>
          </w:p>
        </w:tc>
        <w:tc>
          <w:tcPr>
            <w:tcW w:w="1663" w:type="dxa"/>
          </w:tcPr>
          <w:p>
            <w:pPr>
              <w:pStyle w:val="0"/>
            </w:pPr>
            <w:r>
              <w:rPr>
                <w:sz w:val="20"/>
              </w:rPr>
            </w:r>
          </w:p>
        </w:tc>
      </w:tr>
      <w:tr>
        <w:tc>
          <w:tcPr>
            <w:tcW w:w="4025" w:type="dxa"/>
          </w:tcPr>
          <w:p>
            <w:pPr>
              <w:pStyle w:val="0"/>
            </w:pPr>
            <w:r>
              <w:rPr>
                <w:sz w:val="20"/>
              </w:rPr>
              <w:t xml:space="preserve">налоговые и неналоговые доходы</w:t>
            </w:r>
          </w:p>
        </w:tc>
        <w:tc>
          <w:tcPr>
            <w:tcW w:w="1662" w:type="dxa"/>
          </w:tcPr>
          <w:p>
            <w:pPr>
              <w:pStyle w:val="0"/>
              <w:jc w:val="center"/>
            </w:pPr>
            <w:r>
              <w:rPr>
                <w:sz w:val="20"/>
              </w:rPr>
              <w:t xml:space="preserve">68866127,1</w:t>
            </w:r>
          </w:p>
        </w:tc>
        <w:tc>
          <w:tcPr>
            <w:tcW w:w="1662" w:type="dxa"/>
          </w:tcPr>
          <w:p>
            <w:pPr>
              <w:pStyle w:val="0"/>
              <w:jc w:val="center"/>
            </w:pPr>
            <w:r>
              <w:rPr>
                <w:sz w:val="20"/>
              </w:rPr>
              <w:t xml:space="preserve">71845288,5</w:t>
            </w:r>
          </w:p>
        </w:tc>
        <w:tc>
          <w:tcPr>
            <w:tcW w:w="1663" w:type="dxa"/>
          </w:tcPr>
          <w:p>
            <w:pPr>
              <w:pStyle w:val="0"/>
              <w:jc w:val="center"/>
            </w:pPr>
            <w:r>
              <w:rPr>
                <w:sz w:val="20"/>
              </w:rPr>
              <w:t xml:space="preserve">75080393,9</w:t>
            </w:r>
          </w:p>
        </w:tc>
      </w:tr>
      <w:tr>
        <w:tc>
          <w:tcPr>
            <w:tcW w:w="4025" w:type="dxa"/>
          </w:tcPr>
          <w:p>
            <w:pPr>
              <w:pStyle w:val="0"/>
            </w:pPr>
            <w:r>
              <w:rPr>
                <w:sz w:val="20"/>
              </w:rPr>
              <w:t xml:space="preserve">безвозмездные поступления</w:t>
            </w:r>
          </w:p>
        </w:tc>
        <w:tc>
          <w:tcPr>
            <w:tcW w:w="1662" w:type="dxa"/>
          </w:tcPr>
          <w:p>
            <w:pPr>
              <w:pStyle w:val="0"/>
              <w:jc w:val="center"/>
            </w:pPr>
            <w:r>
              <w:rPr>
                <w:sz w:val="20"/>
              </w:rPr>
              <w:t xml:space="preserve">18636120,0</w:t>
            </w:r>
          </w:p>
        </w:tc>
        <w:tc>
          <w:tcPr>
            <w:tcW w:w="1662" w:type="dxa"/>
          </w:tcPr>
          <w:p>
            <w:pPr>
              <w:pStyle w:val="0"/>
              <w:jc w:val="center"/>
            </w:pPr>
            <w:r>
              <w:rPr>
                <w:sz w:val="20"/>
              </w:rPr>
              <w:t xml:space="preserve">18112647,5</w:t>
            </w:r>
          </w:p>
        </w:tc>
        <w:tc>
          <w:tcPr>
            <w:tcW w:w="1663" w:type="dxa"/>
          </w:tcPr>
          <w:p>
            <w:pPr>
              <w:pStyle w:val="0"/>
              <w:jc w:val="center"/>
            </w:pPr>
            <w:r>
              <w:rPr>
                <w:sz w:val="20"/>
              </w:rPr>
              <w:t xml:space="preserve">17610657,4</w:t>
            </w:r>
          </w:p>
        </w:tc>
      </w:tr>
      <w:tr>
        <w:tc>
          <w:tcPr>
            <w:tcW w:w="4025" w:type="dxa"/>
          </w:tcPr>
          <w:p>
            <w:pPr>
              <w:pStyle w:val="0"/>
            </w:pPr>
            <w:r>
              <w:rPr>
                <w:sz w:val="20"/>
              </w:rPr>
              <w:t xml:space="preserve">Расходы - всего</w:t>
            </w:r>
          </w:p>
        </w:tc>
        <w:tc>
          <w:tcPr>
            <w:tcW w:w="1662" w:type="dxa"/>
          </w:tcPr>
          <w:p>
            <w:pPr>
              <w:pStyle w:val="0"/>
              <w:jc w:val="center"/>
            </w:pPr>
            <w:r>
              <w:rPr>
                <w:sz w:val="20"/>
              </w:rPr>
              <w:t xml:space="preserve">92879831,5</w:t>
            </w:r>
          </w:p>
        </w:tc>
        <w:tc>
          <w:tcPr>
            <w:tcW w:w="1662" w:type="dxa"/>
          </w:tcPr>
          <w:p>
            <w:pPr>
              <w:pStyle w:val="0"/>
              <w:jc w:val="center"/>
            </w:pPr>
            <w:r>
              <w:rPr>
                <w:sz w:val="20"/>
              </w:rPr>
              <w:t xml:space="preserve">92872425,2</w:t>
            </w:r>
          </w:p>
        </w:tc>
        <w:tc>
          <w:tcPr>
            <w:tcW w:w="1663" w:type="dxa"/>
          </w:tcPr>
          <w:p>
            <w:pPr>
              <w:pStyle w:val="0"/>
              <w:jc w:val="center"/>
            </w:pPr>
            <w:r>
              <w:rPr>
                <w:sz w:val="20"/>
              </w:rPr>
              <w:t xml:space="preserve">94011265,4</w:t>
            </w:r>
          </w:p>
        </w:tc>
      </w:tr>
      <w:tr>
        <w:tc>
          <w:tcPr>
            <w:tcW w:w="4025" w:type="dxa"/>
          </w:tcPr>
          <w:p>
            <w:pPr>
              <w:pStyle w:val="0"/>
            </w:pPr>
            <w:r>
              <w:rPr>
                <w:sz w:val="20"/>
              </w:rPr>
              <w:t xml:space="preserve">Дефицит</w:t>
            </w:r>
          </w:p>
        </w:tc>
        <w:tc>
          <w:tcPr>
            <w:tcW w:w="1662" w:type="dxa"/>
          </w:tcPr>
          <w:p>
            <w:pPr>
              <w:pStyle w:val="0"/>
              <w:jc w:val="center"/>
            </w:pPr>
            <w:r>
              <w:rPr>
                <w:sz w:val="20"/>
              </w:rPr>
              <w:t xml:space="preserve">-5377584,4</w:t>
            </w:r>
          </w:p>
        </w:tc>
        <w:tc>
          <w:tcPr>
            <w:tcW w:w="1662" w:type="dxa"/>
          </w:tcPr>
          <w:p>
            <w:pPr>
              <w:pStyle w:val="0"/>
              <w:jc w:val="center"/>
            </w:pPr>
            <w:r>
              <w:rPr>
                <w:sz w:val="20"/>
              </w:rPr>
              <w:t xml:space="preserve">-2914489,2</w:t>
            </w:r>
          </w:p>
        </w:tc>
        <w:tc>
          <w:tcPr>
            <w:tcW w:w="1663" w:type="dxa"/>
          </w:tcPr>
          <w:p>
            <w:pPr>
              <w:pStyle w:val="0"/>
              <w:jc w:val="center"/>
            </w:pPr>
            <w:r>
              <w:rPr>
                <w:sz w:val="20"/>
              </w:rPr>
              <w:t xml:space="preserve">-1320214,1</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4</w:t>
      </w:r>
    </w:p>
    <w:p>
      <w:pPr>
        <w:pStyle w:val="0"/>
        <w:jc w:val="right"/>
      </w:pPr>
      <w:r>
        <w:rPr>
          <w:sz w:val="20"/>
        </w:rPr>
        <w:t xml:space="preserve">к распоряжению</w:t>
      </w:r>
    </w:p>
    <w:p>
      <w:pPr>
        <w:pStyle w:val="0"/>
        <w:jc w:val="right"/>
      </w:pPr>
      <w:r>
        <w:rPr>
          <w:sz w:val="20"/>
        </w:rPr>
        <w:t xml:space="preserve">администрации</w:t>
      </w:r>
    </w:p>
    <w:p>
      <w:pPr>
        <w:pStyle w:val="0"/>
        <w:jc w:val="right"/>
      </w:pPr>
      <w:r>
        <w:rPr>
          <w:sz w:val="20"/>
        </w:rPr>
        <w:t xml:space="preserve">Владимирской области</w:t>
      </w:r>
    </w:p>
    <w:p>
      <w:pPr>
        <w:pStyle w:val="0"/>
        <w:jc w:val="right"/>
      </w:pPr>
      <w:r>
        <w:rPr>
          <w:sz w:val="20"/>
        </w:rPr>
        <w:t xml:space="preserve">от 05.07.2021 N 512-р</w:t>
      </w:r>
    </w:p>
    <w:p>
      <w:pPr>
        <w:pStyle w:val="0"/>
        <w:jc w:val="both"/>
      </w:pPr>
      <w:r>
        <w:rPr>
          <w:sz w:val="20"/>
        </w:rPr>
      </w:r>
    </w:p>
    <w:bookmarkStart w:id="710" w:name="P710"/>
    <w:bookmarkEnd w:id="710"/>
    <w:p>
      <w:pPr>
        <w:pStyle w:val="2"/>
        <w:jc w:val="center"/>
      </w:pPr>
      <w:r>
        <w:rPr>
          <w:sz w:val="20"/>
        </w:rPr>
        <w:t xml:space="preserve">ОСНОВНЫЕ ХАРАКТЕРИСТИКИ</w:t>
      </w:r>
    </w:p>
    <w:p>
      <w:pPr>
        <w:pStyle w:val="2"/>
        <w:jc w:val="center"/>
      </w:pPr>
      <w:r>
        <w:rPr>
          <w:sz w:val="20"/>
        </w:rPr>
        <w:t xml:space="preserve">ОБЛАСТНОГО БЮДЖЕТА НА 2022 ГОД И НА ПЛАНОВЫЙ ПЕРИОД</w:t>
      </w:r>
    </w:p>
    <w:p>
      <w:pPr>
        <w:pStyle w:val="2"/>
        <w:jc w:val="center"/>
      </w:pPr>
      <w:r>
        <w:rPr>
          <w:sz w:val="20"/>
        </w:rPr>
        <w:t xml:space="preserve">2023 И 2024 ГОДОВ</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025"/>
        <w:gridCol w:w="1662"/>
        <w:gridCol w:w="1662"/>
        <w:gridCol w:w="1663"/>
      </w:tblGrid>
      <w:tr>
        <w:tc>
          <w:tcPr>
            <w:tcW w:w="4025" w:type="dxa"/>
            <w:vMerge w:val="restart"/>
          </w:tcPr>
          <w:p>
            <w:pPr>
              <w:pStyle w:val="0"/>
              <w:jc w:val="center"/>
            </w:pPr>
            <w:r>
              <w:rPr>
                <w:sz w:val="20"/>
              </w:rPr>
              <w:t xml:space="preserve">Показатели</w:t>
            </w:r>
          </w:p>
        </w:tc>
        <w:tc>
          <w:tcPr>
            <w:gridSpan w:val="3"/>
            <w:tcW w:w="4987" w:type="dxa"/>
          </w:tcPr>
          <w:p>
            <w:pPr>
              <w:pStyle w:val="0"/>
              <w:jc w:val="center"/>
            </w:pPr>
            <w:r>
              <w:rPr>
                <w:sz w:val="20"/>
              </w:rPr>
              <w:t xml:space="preserve">Объем в тыс. рублей</w:t>
            </w:r>
          </w:p>
        </w:tc>
      </w:tr>
      <w:tr>
        <w:tc>
          <w:tcPr>
            <w:vMerge w:val="continue"/>
          </w:tcPr>
          <w:p/>
        </w:tc>
        <w:tc>
          <w:tcPr>
            <w:tcW w:w="1662" w:type="dxa"/>
          </w:tcPr>
          <w:p>
            <w:pPr>
              <w:pStyle w:val="0"/>
              <w:jc w:val="center"/>
            </w:pPr>
            <w:r>
              <w:rPr>
                <w:sz w:val="20"/>
              </w:rPr>
              <w:t xml:space="preserve">2022 год</w:t>
            </w:r>
          </w:p>
        </w:tc>
        <w:tc>
          <w:tcPr>
            <w:tcW w:w="1662" w:type="dxa"/>
          </w:tcPr>
          <w:p>
            <w:pPr>
              <w:pStyle w:val="0"/>
              <w:jc w:val="center"/>
            </w:pPr>
            <w:r>
              <w:rPr>
                <w:sz w:val="20"/>
              </w:rPr>
              <w:t xml:space="preserve">2023 год</w:t>
            </w:r>
          </w:p>
        </w:tc>
        <w:tc>
          <w:tcPr>
            <w:tcW w:w="1663" w:type="dxa"/>
          </w:tcPr>
          <w:p>
            <w:pPr>
              <w:pStyle w:val="0"/>
              <w:jc w:val="center"/>
            </w:pPr>
            <w:r>
              <w:rPr>
                <w:sz w:val="20"/>
              </w:rPr>
              <w:t xml:space="preserve">2024 год</w:t>
            </w:r>
          </w:p>
        </w:tc>
      </w:tr>
      <w:tr>
        <w:tc>
          <w:tcPr>
            <w:tcW w:w="4025" w:type="dxa"/>
          </w:tcPr>
          <w:p>
            <w:pPr>
              <w:pStyle w:val="0"/>
            </w:pPr>
            <w:r>
              <w:rPr>
                <w:sz w:val="20"/>
              </w:rPr>
              <w:t xml:space="preserve">Доходы - всего</w:t>
            </w:r>
          </w:p>
        </w:tc>
        <w:tc>
          <w:tcPr>
            <w:tcW w:w="1662" w:type="dxa"/>
          </w:tcPr>
          <w:p>
            <w:pPr>
              <w:pStyle w:val="0"/>
              <w:jc w:val="center"/>
            </w:pPr>
            <w:r>
              <w:rPr>
                <w:sz w:val="20"/>
              </w:rPr>
              <w:t xml:space="preserve">72411963,8</w:t>
            </w:r>
          </w:p>
        </w:tc>
        <w:tc>
          <w:tcPr>
            <w:tcW w:w="1662" w:type="dxa"/>
          </w:tcPr>
          <w:p>
            <w:pPr>
              <w:pStyle w:val="0"/>
              <w:jc w:val="center"/>
            </w:pPr>
            <w:r>
              <w:rPr>
                <w:sz w:val="20"/>
              </w:rPr>
              <w:t xml:space="preserve">74262634,9</w:t>
            </w:r>
          </w:p>
        </w:tc>
        <w:tc>
          <w:tcPr>
            <w:tcW w:w="1663" w:type="dxa"/>
          </w:tcPr>
          <w:p>
            <w:pPr>
              <w:pStyle w:val="0"/>
              <w:jc w:val="center"/>
            </w:pPr>
            <w:r>
              <w:rPr>
                <w:sz w:val="20"/>
              </w:rPr>
              <w:t xml:space="preserve">76204199,0</w:t>
            </w:r>
          </w:p>
        </w:tc>
      </w:tr>
      <w:tr>
        <w:tc>
          <w:tcPr>
            <w:tcW w:w="4025" w:type="dxa"/>
          </w:tcPr>
          <w:p>
            <w:pPr>
              <w:pStyle w:val="0"/>
            </w:pPr>
            <w:r>
              <w:rPr>
                <w:sz w:val="20"/>
              </w:rPr>
              <w:t xml:space="preserve">в том числе:</w:t>
            </w:r>
          </w:p>
        </w:tc>
        <w:tc>
          <w:tcPr>
            <w:tcW w:w="1662" w:type="dxa"/>
          </w:tcPr>
          <w:p>
            <w:pPr>
              <w:pStyle w:val="0"/>
            </w:pPr>
            <w:r>
              <w:rPr>
                <w:sz w:val="20"/>
              </w:rPr>
            </w:r>
          </w:p>
        </w:tc>
        <w:tc>
          <w:tcPr>
            <w:tcW w:w="1662" w:type="dxa"/>
          </w:tcPr>
          <w:p>
            <w:pPr>
              <w:pStyle w:val="0"/>
            </w:pPr>
            <w:r>
              <w:rPr>
                <w:sz w:val="20"/>
              </w:rPr>
            </w:r>
          </w:p>
        </w:tc>
        <w:tc>
          <w:tcPr>
            <w:tcW w:w="1663" w:type="dxa"/>
          </w:tcPr>
          <w:p>
            <w:pPr>
              <w:pStyle w:val="0"/>
            </w:pPr>
            <w:r>
              <w:rPr>
                <w:sz w:val="20"/>
              </w:rPr>
            </w:r>
          </w:p>
        </w:tc>
      </w:tr>
      <w:tr>
        <w:tc>
          <w:tcPr>
            <w:tcW w:w="4025" w:type="dxa"/>
          </w:tcPr>
          <w:p>
            <w:pPr>
              <w:pStyle w:val="0"/>
            </w:pPr>
            <w:r>
              <w:rPr>
                <w:sz w:val="20"/>
              </w:rPr>
              <w:t xml:space="preserve">налоговые и неналоговые доходы</w:t>
            </w:r>
          </w:p>
        </w:tc>
        <w:tc>
          <w:tcPr>
            <w:tcW w:w="1662" w:type="dxa"/>
          </w:tcPr>
          <w:p>
            <w:pPr>
              <w:pStyle w:val="0"/>
              <w:jc w:val="center"/>
            </w:pPr>
            <w:r>
              <w:rPr>
                <w:sz w:val="20"/>
              </w:rPr>
              <w:t xml:space="preserve">53775843,8</w:t>
            </w:r>
          </w:p>
        </w:tc>
        <w:tc>
          <w:tcPr>
            <w:tcW w:w="1662" w:type="dxa"/>
          </w:tcPr>
          <w:p>
            <w:pPr>
              <w:pStyle w:val="0"/>
              <w:jc w:val="center"/>
            </w:pPr>
            <w:r>
              <w:rPr>
                <w:sz w:val="20"/>
              </w:rPr>
              <w:t xml:space="preserve">56149987,4</w:t>
            </w:r>
          </w:p>
        </w:tc>
        <w:tc>
          <w:tcPr>
            <w:tcW w:w="1663" w:type="dxa"/>
          </w:tcPr>
          <w:p>
            <w:pPr>
              <w:pStyle w:val="0"/>
              <w:jc w:val="center"/>
            </w:pPr>
            <w:r>
              <w:rPr>
                <w:sz w:val="20"/>
              </w:rPr>
              <w:t xml:space="preserve">58593541,6</w:t>
            </w:r>
          </w:p>
        </w:tc>
      </w:tr>
      <w:tr>
        <w:tc>
          <w:tcPr>
            <w:tcW w:w="4025" w:type="dxa"/>
          </w:tcPr>
          <w:p>
            <w:pPr>
              <w:pStyle w:val="0"/>
            </w:pPr>
            <w:r>
              <w:rPr>
                <w:sz w:val="20"/>
              </w:rPr>
              <w:t xml:space="preserve">из них доходы дорожного фонда</w:t>
            </w:r>
          </w:p>
        </w:tc>
        <w:tc>
          <w:tcPr>
            <w:tcW w:w="1662" w:type="dxa"/>
          </w:tcPr>
          <w:p>
            <w:pPr>
              <w:pStyle w:val="0"/>
              <w:jc w:val="center"/>
            </w:pPr>
            <w:r>
              <w:rPr>
                <w:sz w:val="20"/>
              </w:rPr>
              <w:t xml:space="preserve">6734971,4</w:t>
            </w:r>
          </w:p>
        </w:tc>
        <w:tc>
          <w:tcPr>
            <w:tcW w:w="1662" w:type="dxa"/>
          </w:tcPr>
          <w:p>
            <w:pPr>
              <w:pStyle w:val="0"/>
              <w:jc w:val="center"/>
            </w:pPr>
            <w:r>
              <w:rPr>
                <w:sz w:val="20"/>
              </w:rPr>
              <w:t xml:space="preserve">7334558,9</w:t>
            </w:r>
          </w:p>
        </w:tc>
        <w:tc>
          <w:tcPr>
            <w:tcW w:w="1663" w:type="dxa"/>
          </w:tcPr>
          <w:p>
            <w:pPr>
              <w:pStyle w:val="0"/>
              <w:jc w:val="center"/>
            </w:pPr>
            <w:r>
              <w:rPr>
                <w:sz w:val="20"/>
              </w:rPr>
              <w:t xml:space="preserve">7594568,0</w:t>
            </w:r>
          </w:p>
        </w:tc>
      </w:tr>
      <w:tr>
        <w:tc>
          <w:tcPr>
            <w:tcW w:w="4025" w:type="dxa"/>
          </w:tcPr>
          <w:p>
            <w:pPr>
              <w:pStyle w:val="0"/>
            </w:pPr>
            <w:r>
              <w:rPr>
                <w:sz w:val="20"/>
              </w:rPr>
              <w:t xml:space="preserve">безвозмездные поступления</w:t>
            </w:r>
          </w:p>
        </w:tc>
        <w:tc>
          <w:tcPr>
            <w:tcW w:w="1662" w:type="dxa"/>
          </w:tcPr>
          <w:p>
            <w:pPr>
              <w:pStyle w:val="0"/>
              <w:jc w:val="center"/>
            </w:pPr>
            <w:r>
              <w:rPr>
                <w:sz w:val="20"/>
              </w:rPr>
              <w:t xml:space="preserve">18636120,0</w:t>
            </w:r>
          </w:p>
        </w:tc>
        <w:tc>
          <w:tcPr>
            <w:tcW w:w="1662" w:type="dxa"/>
          </w:tcPr>
          <w:p>
            <w:pPr>
              <w:pStyle w:val="0"/>
              <w:jc w:val="center"/>
            </w:pPr>
            <w:r>
              <w:rPr>
                <w:sz w:val="20"/>
              </w:rPr>
              <w:t xml:space="preserve">18112647,5</w:t>
            </w:r>
          </w:p>
        </w:tc>
        <w:tc>
          <w:tcPr>
            <w:tcW w:w="1663" w:type="dxa"/>
          </w:tcPr>
          <w:p>
            <w:pPr>
              <w:pStyle w:val="0"/>
              <w:jc w:val="center"/>
            </w:pPr>
            <w:r>
              <w:rPr>
                <w:sz w:val="20"/>
              </w:rPr>
              <w:t xml:space="preserve">17610657,4</w:t>
            </w:r>
          </w:p>
        </w:tc>
      </w:tr>
      <w:tr>
        <w:tc>
          <w:tcPr>
            <w:tcW w:w="4025" w:type="dxa"/>
          </w:tcPr>
          <w:p>
            <w:pPr>
              <w:pStyle w:val="0"/>
            </w:pPr>
            <w:r>
              <w:rPr>
                <w:sz w:val="20"/>
              </w:rPr>
              <w:t xml:space="preserve">из них доходы дорожного фонда</w:t>
            </w:r>
          </w:p>
        </w:tc>
        <w:tc>
          <w:tcPr>
            <w:tcW w:w="1662" w:type="dxa"/>
          </w:tcPr>
          <w:p>
            <w:pPr>
              <w:pStyle w:val="0"/>
              <w:jc w:val="center"/>
            </w:pPr>
            <w:r>
              <w:rPr>
                <w:sz w:val="20"/>
              </w:rPr>
              <w:t xml:space="preserve">480000,0</w:t>
            </w:r>
          </w:p>
        </w:tc>
        <w:tc>
          <w:tcPr>
            <w:tcW w:w="1662" w:type="dxa"/>
          </w:tcPr>
          <w:p>
            <w:pPr>
              <w:pStyle w:val="0"/>
              <w:jc w:val="center"/>
            </w:pPr>
            <w:r>
              <w:rPr>
                <w:sz w:val="20"/>
              </w:rPr>
              <w:t xml:space="preserve">280000,0</w:t>
            </w:r>
          </w:p>
        </w:tc>
        <w:tc>
          <w:tcPr>
            <w:tcW w:w="1663" w:type="dxa"/>
          </w:tcPr>
          <w:p>
            <w:pPr>
              <w:pStyle w:val="0"/>
              <w:jc w:val="center"/>
            </w:pPr>
            <w:r>
              <w:rPr>
                <w:sz w:val="20"/>
              </w:rPr>
              <w:t xml:space="preserve">0,0</w:t>
            </w:r>
          </w:p>
        </w:tc>
      </w:tr>
      <w:tr>
        <w:tc>
          <w:tcPr>
            <w:tcW w:w="4025" w:type="dxa"/>
          </w:tcPr>
          <w:p>
            <w:pPr>
              <w:pStyle w:val="0"/>
            </w:pPr>
            <w:r>
              <w:rPr>
                <w:sz w:val="20"/>
              </w:rPr>
              <w:t xml:space="preserve">Расходы - всего</w:t>
            </w:r>
          </w:p>
        </w:tc>
        <w:tc>
          <w:tcPr>
            <w:tcW w:w="1662" w:type="dxa"/>
          </w:tcPr>
          <w:p>
            <w:pPr>
              <w:pStyle w:val="0"/>
              <w:jc w:val="center"/>
            </w:pPr>
            <w:r>
              <w:rPr>
                <w:sz w:val="20"/>
              </w:rPr>
              <w:t xml:space="preserve">77789548,2</w:t>
            </w:r>
          </w:p>
        </w:tc>
        <w:tc>
          <w:tcPr>
            <w:tcW w:w="1662" w:type="dxa"/>
          </w:tcPr>
          <w:p>
            <w:pPr>
              <w:pStyle w:val="0"/>
              <w:jc w:val="center"/>
            </w:pPr>
            <w:r>
              <w:rPr>
                <w:sz w:val="20"/>
              </w:rPr>
              <w:t xml:space="preserve">77177124,1</w:t>
            </w:r>
          </w:p>
        </w:tc>
        <w:tc>
          <w:tcPr>
            <w:tcW w:w="1663" w:type="dxa"/>
          </w:tcPr>
          <w:p>
            <w:pPr>
              <w:pStyle w:val="0"/>
              <w:jc w:val="center"/>
            </w:pPr>
            <w:r>
              <w:rPr>
                <w:sz w:val="20"/>
              </w:rPr>
              <w:t xml:space="preserve">77524413,1</w:t>
            </w:r>
          </w:p>
        </w:tc>
      </w:tr>
      <w:tr>
        <w:tc>
          <w:tcPr>
            <w:tcW w:w="4025" w:type="dxa"/>
          </w:tcPr>
          <w:p>
            <w:pPr>
              <w:pStyle w:val="0"/>
            </w:pPr>
            <w:r>
              <w:rPr>
                <w:sz w:val="20"/>
              </w:rPr>
              <w:t xml:space="preserve">в том числе:</w:t>
            </w:r>
          </w:p>
        </w:tc>
        <w:tc>
          <w:tcPr>
            <w:tcW w:w="1662" w:type="dxa"/>
          </w:tcPr>
          <w:p>
            <w:pPr>
              <w:pStyle w:val="0"/>
            </w:pPr>
            <w:r>
              <w:rPr>
                <w:sz w:val="20"/>
              </w:rPr>
            </w:r>
          </w:p>
        </w:tc>
        <w:tc>
          <w:tcPr>
            <w:tcW w:w="1662" w:type="dxa"/>
          </w:tcPr>
          <w:p>
            <w:pPr>
              <w:pStyle w:val="0"/>
            </w:pPr>
            <w:r>
              <w:rPr>
                <w:sz w:val="20"/>
              </w:rPr>
            </w:r>
          </w:p>
        </w:tc>
        <w:tc>
          <w:tcPr>
            <w:tcW w:w="1663" w:type="dxa"/>
          </w:tcPr>
          <w:p>
            <w:pPr>
              <w:pStyle w:val="0"/>
            </w:pPr>
            <w:r>
              <w:rPr>
                <w:sz w:val="20"/>
              </w:rPr>
            </w:r>
          </w:p>
        </w:tc>
      </w:tr>
      <w:tr>
        <w:tc>
          <w:tcPr>
            <w:tcW w:w="4025" w:type="dxa"/>
          </w:tcPr>
          <w:p>
            <w:pPr>
              <w:pStyle w:val="0"/>
            </w:pPr>
            <w:r>
              <w:rPr>
                <w:sz w:val="20"/>
              </w:rPr>
              <w:t xml:space="preserve">действующие обязательства, всего</w:t>
            </w:r>
          </w:p>
        </w:tc>
        <w:tc>
          <w:tcPr>
            <w:tcW w:w="1662" w:type="dxa"/>
          </w:tcPr>
          <w:p>
            <w:pPr>
              <w:pStyle w:val="0"/>
              <w:jc w:val="center"/>
            </w:pPr>
            <w:r>
              <w:rPr>
                <w:sz w:val="20"/>
              </w:rPr>
              <w:t xml:space="preserve">72854560,3</w:t>
            </w:r>
          </w:p>
        </w:tc>
        <w:tc>
          <w:tcPr>
            <w:tcW w:w="1662" w:type="dxa"/>
          </w:tcPr>
          <w:p>
            <w:pPr>
              <w:pStyle w:val="0"/>
              <w:jc w:val="center"/>
            </w:pPr>
            <w:r>
              <w:rPr>
                <w:sz w:val="20"/>
              </w:rPr>
              <w:t xml:space="preserve">71416368,5</w:t>
            </w:r>
          </w:p>
        </w:tc>
        <w:tc>
          <w:tcPr>
            <w:tcW w:w="1663" w:type="dxa"/>
          </w:tcPr>
          <w:p>
            <w:pPr>
              <w:pStyle w:val="0"/>
              <w:jc w:val="center"/>
            </w:pPr>
            <w:r>
              <w:rPr>
                <w:sz w:val="20"/>
              </w:rPr>
              <w:t xml:space="preserve">70868155,4</w:t>
            </w:r>
          </w:p>
        </w:tc>
      </w:tr>
      <w:tr>
        <w:tc>
          <w:tcPr>
            <w:tcW w:w="4025" w:type="dxa"/>
          </w:tcPr>
          <w:p>
            <w:pPr>
              <w:pStyle w:val="0"/>
            </w:pPr>
            <w:r>
              <w:rPr>
                <w:sz w:val="20"/>
              </w:rPr>
              <w:t xml:space="preserve">из них расходные обязательства дорожного фонда</w:t>
            </w:r>
          </w:p>
        </w:tc>
        <w:tc>
          <w:tcPr>
            <w:tcW w:w="1662" w:type="dxa"/>
          </w:tcPr>
          <w:p>
            <w:pPr>
              <w:pStyle w:val="0"/>
              <w:jc w:val="center"/>
            </w:pPr>
            <w:r>
              <w:rPr>
                <w:sz w:val="20"/>
              </w:rPr>
              <w:t xml:space="preserve">7214971,4</w:t>
            </w:r>
          </w:p>
        </w:tc>
        <w:tc>
          <w:tcPr>
            <w:tcW w:w="1662" w:type="dxa"/>
          </w:tcPr>
          <w:p>
            <w:pPr>
              <w:pStyle w:val="0"/>
              <w:jc w:val="center"/>
            </w:pPr>
            <w:r>
              <w:rPr>
                <w:sz w:val="20"/>
              </w:rPr>
              <w:t xml:space="preserve">7614558,9</w:t>
            </w:r>
          </w:p>
        </w:tc>
        <w:tc>
          <w:tcPr>
            <w:tcW w:w="1663" w:type="dxa"/>
          </w:tcPr>
          <w:p>
            <w:pPr>
              <w:pStyle w:val="0"/>
              <w:jc w:val="center"/>
            </w:pPr>
            <w:r>
              <w:rPr>
                <w:sz w:val="20"/>
              </w:rPr>
              <w:t xml:space="preserve">7594568,0</w:t>
            </w:r>
          </w:p>
        </w:tc>
      </w:tr>
      <w:tr>
        <w:tc>
          <w:tcPr>
            <w:tcW w:w="4025" w:type="dxa"/>
          </w:tcPr>
          <w:p>
            <w:pPr>
              <w:pStyle w:val="0"/>
            </w:pPr>
            <w:r>
              <w:rPr>
                <w:sz w:val="20"/>
              </w:rPr>
              <w:t xml:space="preserve">дефицит (-), профицит (+) по действующим обязательствам</w:t>
            </w:r>
          </w:p>
        </w:tc>
        <w:tc>
          <w:tcPr>
            <w:tcW w:w="1662" w:type="dxa"/>
          </w:tcPr>
          <w:p>
            <w:pPr>
              <w:pStyle w:val="0"/>
              <w:jc w:val="center"/>
            </w:pPr>
            <w:r>
              <w:rPr>
                <w:sz w:val="20"/>
              </w:rPr>
              <w:t xml:space="preserve">-442596,5</w:t>
            </w:r>
          </w:p>
        </w:tc>
        <w:tc>
          <w:tcPr>
            <w:tcW w:w="1662" w:type="dxa"/>
          </w:tcPr>
          <w:p>
            <w:pPr>
              <w:pStyle w:val="0"/>
              <w:jc w:val="center"/>
            </w:pPr>
            <w:r>
              <w:rPr>
                <w:sz w:val="20"/>
              </w:rPr>
              <w:t xml:space="preserve">2846266,4</w:t>
            </w:r>
          </w:p>
        </w:tc>
        <w:tc>
          <w:tcPr>
            <w:tcW w:w="1663" w:type="dxa"/>
          </w:tcPr>
          <w:p>
            <w:pPr>
              <w:pStyle w:val="0"/>
              <w:jc w:val="center"/>
            </w:pPr>
            <w:r>
              <w:rPr>
                <w:sz w:val="20"/>
              </w:rPr>
              <w:t xml:space="preserve">5336043,6</w:t>
            </w:r>
          </w:p>
        </w:tc>
      </w:tr>
      <w:tr>
        <w:tc>
          <w:tcPr>
            <w:tcW w:w="4025" w:type="dxa"/>
          </w:tcPr>
          <w:p>
            <w:pPr>
              <w:pStyle w:val="0"/>
            </w:pPr>
            <w:r>
              <w:rPr>
                <w:sz w:val="20"/>
              </w:rPr>
              <w:t xml:space="preserve">принимаемые обязательства</w:t>
            </w:r>
          </w:p>
        </w:tc>
        <w:tc>
          <w:tcPr>
            <w:tcW w:w="1662" w:type="dxa"/>
          </w:tcPr>
          <w:p>
            <w:pPr>
              <w:pStyle w:val="0"/>
              <w:jc w:val="center"/>
            </w:pPr>
            <w:r>
              <w:rPr>
                <w:sz w:val="20"/>
              </w:rPr>
              <w:t xml:space="preserve">4934987,9</w:t>
            </w:r>
          </w:p>
        </w:tc>
        <w:tc>
          <w:tcPr>
            <w:tcW w:w="1662" w:type="dxa"/>
          </w:tcPr>
          <w:p>
            <w:pPr>
              <w:pStyle w:val="0"/>
              <w:jc w:val="center"/>
            </w:pPr>
            <w:r>
              <w:rPr>
                <w:sz w:val="20"/>
              </w:rPr>
              <w:t xml:space="preserve">4210755,6</w:t>
            </w:r>
          </w:p>
        </w:tc>
        <w:tc>
          <w:tcPr>
            <w:tcW w:w="1663" w:type="dxa"/>
          </w:tcPr>
          <w:p>
            <w:pPr>
              <w:pStyle w:val="0"/>
              <w:jc w:val="center"/>
            </w:pPr>
            <w:r>
              <w:rPr>
                <w:sz w:val="20"/>
              </w:rPr>
              <w:t xml:space="preserve">3506257,7</w:t>
            </w:r>
          </w:p>
        </w:tc>
      </w:tr>
      <w:tr>
        <w:tc>
          <w:tcPr>
            <w:tcW w:w="4025" w:type="dxa"/>
          </w:tcPr>
          <w:p>
            <w:pPr>
              <w:pStyle w:val="0"/>
            </w:pPr>
            <w:r>
              <w:rPr>
                <w:sz w:val="20"/>
              </w:rPr>
              <w:t xml:space="preserve">условно утверждаемые расходы</w:t>
            </w:r>
          </w:p>
        </w:tc>
        <w:tc>
          <w:tcPr>
            <w:tcW w:w="1662" w:type="dxa"/>
          </w:tcPr>
          <w:p>
            <w:pPr>
              <w:pStyle w:val="0"/>
              <w:jc w:val="center"/>
            </w:pPr>
            <w:r>
              <w:rPr>
                <w:sz w:val="20"/>
              </w:rPr>
              <w:t xml:space="preserve">0,0</w:t>
            </w:r>
          </w:p>
        </w:tc>
        <w:tc>
          <w:tcPr>
            <w:tcW w:w="1662" w:type="dxa"/>
          </w:tcPr>
          <w:p>
            <w:pPr>
              <w:pStyle w:val="0"/>
              <w:jc w:val="center"/>
            </w:pPr>
            <w:r>
              <w:rPr>
                <w:sz w:val="20"/>
              </w:rPr>
              <w:t xml:space="preserve">1550000,0</w:t>
            </w:r>
          </w:p>
        </w:tc>
        <w:tc>
          <w:tcPr>
            <w:tcW w:w="1663" w:type="dxa"/>
          </w:tcPr>
          <w:p>
            <w:pPr>
              <w:pStyle w:val="0"/>
              <w:jc w:val="center"/>
            </w:pPr>
            <w:r>
              <w:rPr>
                <w:sz w:val="20"/>
              </w:rPr>
              <w:t xml:space="preserve">3150000,0</w:t>
            </w:r>
          </w:p>
        </w:tc>
      </w:tr>
      <w:tr>
        <w:tc>
          <w:tcPr>
            <w:tcW w:w="4025" w:type="dxa"/>
          </w:tcPr>
          <w:p>
            <w:pPr>
              <w:pStyle w:val="0"/>
            </w:pPr>
            <w:r>
              <w:rPr>
                <w:sz w:val="20"/>
              </w:rPr>
              <w:t xml:space="preserve">Дефицит с учетом действующих и принимаемых обязательств</w:t>
            </w:r>
          </w:p>
        </w:tc>
        <w:tc>
          <w:tcPr>
            <w:tcW w:w="1662" w:type="dxa"/>
          </w:tcPr>
          <w:p>
            <w:pPr>
              <w:pStyle w:val="0"/>
              <w:jc w:val="center"/>
            </w:pPr>
            <w:r>
              <w:rPr>
                <w:sz w:val="20"/>
              </w:rPr>
              <w:t xml:space="preserve">-5377584,4</w:t>
            </w:r>
          </w:p>
        </w:tc>
        <w:tc>
          <w:tcPr>
            <w:tcW w:w="1662" w:type="dxa"/>
          </w:tcPr>
          <w:p>
            <w:pPr>
              <w:pStyle w:val="0"/>
              <w:jc w:val="center"/>
            </w:pPr>
            <w:r>
              <w:rPr>
                <w:sz w:val="20"/>
              </w:rPr>
              <w:t xml:space="preserve">-2914489,2</w:t>
            </w:r>
          </w:p>
        </w:tc>
        <w:tc>
          <w:tcPr>
            <w:tcW w:w="1663" w:type="dxa"/>
          </w:tcPr>
          <w:p>
            <w:pPr>
              <w:pStyle w:val="0"/>
              <w:jc w:val="center"/>
            </w:pPr>
            <w:r>
              <w:rPr>
                <w:sz w:val="20"/>
              </w:rPr>
              <w:t xml:space="preserve">-1320214,1</w:t>
            </w:r>
          </w:p>
        </w:tc>
      </w:tr>
      <w:tr>
        <w:tc>
          <w:tcPr>
            <w:tcW w:w="4025" w:type="dxa"/>
          </w:tcPr>
          <w:p>
            <w:pPr>
              <w:pStyle w:val="0"/>
            </w:pPr>
            <w:r>
              <w:rPr>
                <w:sz w:val="20"/>
              </w:rPr>
            </w:r>
          </w:p>
        </w:tc>
        <w:tc>
          <w:tcPr>
            <w:tcW w:w="1662" w:type="dxa"/>
          </w:tcPr>
          <w:p>
            <w:pPr>
              <w:pStyle w:val="0"/>
              <w:jc w:val="center"/>
            </w:pPr>
            <w:r>
              <w:rPr>
                <w:sz w:val="20"/>
              </w:rPr>
              <w:t xml:space="preserve">на 01.01.2022</w:t>
            </w:r>
          </w:p>
        </w:tc>
        <w:tc>
          <w:tcPr>
            <w:tcW w:w="1662" w:type="dxa"/>
          </w:tcPr>
          <w:p>
            <w:pPr>
              <w:pStyle w:val="0"/>
              <w:jc w:val="center"/>
            </w:pPr>
            <w:r>
              <w:rPr>
                <w:sz w:val="20"/>
              </w:rPr>
              <w:t xml:space="preserve">на 01.01.2023</w:t>
            </w:r>
          </w:p>
        </w:tc>
        <w:tc>
          <w:tcPr>
            <w:tcW w:w="1663" w:type="dxa"/>
          </w:tcPr>
          <w:p>
            <w:pPr>
              <w:pStyle w:val="0"/>
              <w:jc w:val="center"/>
            </w:pPr>
            <w:r>
              <w:rPr>
                <w:sz w:val="20"/>
              </w:rPr>
              <w:t xml:space="preserve">на 01.01.2024</w:t>
            </w:r>
          </w:p>
        </w:tc>
      </w:tr>
      <w:tr>
        <w:tc>
          <w:tcPr>
            <w:tcW w:w="4025" w:type="dxa"/>
          </w:tcPr>
          <w:p>
            <w:pPr>
              <w:pStyle w:val="0"/>
            </w:pPr>
            <w:r>
              <w:rPr>
                <w:sz w:val="20"/>
              </w:rPr>
              <w:t xml:space="preserve">Верхний предел государственного внутреннего долга области, % от доходов за минусом безвозмездных поступлений</w:t>
            </w:r>
          </w:p>
        </w:tc>
        <w:tc>
          <w:tcPr>
            <w:tcW w:w="1662" w:type="dxa"/>
          </w:tcPr>
          <w:p>
            <w:pPr>
              <w:pStyle w:val="0"/>
              <w:jc w:val="center"/>
            </w:pPr>
            <w:r>
              <w:rPr>
                <w:sz w:val="20"/>
              </w:rPr>
              <w:t xml:space="preserve">14</w:t>
            </w:r>
          </w:p>
        </w:tc>
        <w:tc>
          <w:tcPr>
            <w:tcW w:w="1662" w:type="dxa"/>
          </w:tcPr>
          <w:p>
            <w:pPr>
              <w:pStyle w:val="0"/>
              <w:jc w:val="center"/>
            </w:pPr>
            <w:r>
              <w:rPr>
                <w:sz w:val="20"/>
              </w:rPr>
              <w:t xml:space="preserve">14</w:t>
            </w:r>
          </w:p>
        </w:tc>
        <w:tc>
          <w:tcPr>
            <w:tcW w:w="1663" w:type="dxa"/>
          </w:tcPr>
          <w:p>
            <w:pPr>
              <w:pStyle w:val="0"/>
              <w:jc w:val="center"/>
            </w:pPr>
            <w:r>
              <w:rPr>
                <w:sz w:val="20"/>
              </w:rPr>
              <w:t xml:space="preserve">14</w:t>
            </w:r>
          </w:p>
        </w:tc>
      </w:tr>
      <w:tr>
        <w:tc>
          <w:tcPr>
            <w:tcW w:w="4025" w:type="dxa"/>
          </w:tcPr>
          <w:p>
            <w:pPr>
              <w:pStyle w:val="0"/>
            </w:pPr>
            <w:r>
              <w:rPr>
                <w:sz w:val="20"/>
              </w:rPr>
              <w:t xml:space="preserve">в том числе по рыночным заимствованиям, %</w:t>
            </w:r>
          </w:p>
        </w:tc>
        <w:tc>
          <w:tcPr>
            <w:tcW w:w="1662" w:type="dxa"/>
          </w:tcPr>
          <w:p>
            <w:pPr>
              <w:pStyle w:val="0"/>
              <w:jc w:val="center"/>
            </w:pPr>
            <w:r>
              <w:rPr>
                <w:sz w:val="20"/>
              </w:rPr>
              <w:t xml:space="preserve">8</w:t>
            </w:r>
          </w:p>
        </w:tc>
        <w:tc>
          <w:tcPr>
            <w:tcW w:w="1662" w:type="dxa"/>
          </w:tcPr>
          <w:p>
            <w:pPr>
              <w:pStyle w:val="0"/>
              <w:jc w:val="center"/>
            </w:pPr>
            <w:r>
              <w:rPr>
                <w:sz w:val="20"/>
              </w:rPr>
              <w:t xml:space="preserve">8</w:t>
            </w:r>
          </w:p>
        </w:tc>
        <w:tc>
          <w:tcPr>
            <w:tcW w:w="1663" w:type="dxa"/>
          </w:tcPr>
          <w:p>
            <w:pPr>
              <w:pStyle w:val="0"/>
              <w:jc w:val="center"/>
            </w:pPr>
            <w:r>
              <w:rPr>
                <w:sz w:val="20"/>
              </w:rPr>
              <w:t xml:space="preserve">8</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5</w:t>
      </w:r>
    </w:p>
    <w:p>
      <w:pPr>
        <w:pStyle w:val="0"/>
        <w:jc w:val="right"/>
      </w:pPr>
      <w:r>
        <w:rPr>
          <w:sz w:val="20"/>
        </w:rPr>
        <w:t xml:space="preserve">к распоряжению</w:t>
      </w:r>
    </w:p>
    <w:p>
      <w:pPr>
        <w:pStyle w:val="0"/>
        <w:jc w:val="right"/>
      </w:pPr>
      <w:r>
        <w:rPr>
          <w:sz w:val="20"/>
        </w:rPr>
        <w:t xml:space="preserve">администрации</w:t>
      </w:r>
    </w:p>
    <w:p>
      <w:pPr>
        <w:pStyle w:val="0"/>
        <w:jc w:val="right"/>
      </w:pPr>
      <w:r>
        <w:rPr>
          <w:sz w:val="20"/>
        </w:rPr>
        <w:t xml:space="preserve">Владимирской области</w:t>
      </w:r>
    </w:p>
    <w:p>
      <w:pPr>
        <w:pStyle w:val="0"/>
        <w:jc w:val="right"/>
      </w:pPr>
      <w:r>
        <w:rPr>
          <w:sz w:val="20"/>
        </w:rPr>
        <w:t xml:space="preserve">от 05.07.2021 N 512-р</w:t>
      </w:r>
    </w:p>
    <w:p>
      <w:pPr>
        <w:pStyle w:val="0"/>
        <w:jc w:val="both"/>
      </w:pPr>
      <w:r>
        <w:rPr>
          <w:sz w:val="20"/>
        </w:rPr>
      </w:r>
    </w:p>
    <w:bookmarkStart w:id="798" w:name="P798"/>
    <w:bookmarkEnd w:id="798"/>
    <w:p>
      <w:pPr>
        <w:pStyle w:val="2"/>
        <w:jc w:val="center"/>
      </w:pPr>
      <w:r>
        <w:rPr>
          <w:sz w:val="20"/>
        </w:rPr>
        <w:t xml:space="preserve">РАСПРЕДЕЛЕНИЕ</w:t>
      </w:r>
    </w:p>
    <w:p>
      <w:pPr>
        <w:pStyle w:val="2"/>
        <w:jc w:val="center"/>
      </w:pPr>
      <w:r>
        <w:rPr>
          <w:sz w:val="20"/>
        </w:rPr>
        <w:t xml:space="preserve">БЮДЖЕТНЫХ АССИГНОВАНИЙ НА ИСПОЛНЕНИЕ ДЕЙСТВУЮЩИХ</w:t>
      </w:r>
    </w:p>
    <w:p>
      <w:pPr>
        <w:pStyle w:val="2"/>
        <w:jc w:val="center"/>
      </w:pPr>
      <w:r>
        <w:rPr>
          <w:sz w:val="20"/>
        </w:rPr>
        <w:t xml:space="preserve">ОБЯЗАТЕЛЬСТВ ВЛАДИМИРСКОЙ ОБЛАСТИ ПО ГЛАВНЫМ РАСПОРЯДИТЕЛЯМ</w:t>
      </w:r>
    </w:p>
    <w:p>
      <w:pPr>
        <w:pStyle w:val="2"/>
        <w:jc w:val="center"/>
      </w:pPr>
      <w:r>
        <w:rPr>
          <w:sz w:val="20"/>
        </w:rPr>
        <w:t xml:space="preserve">СРЕДСТВ ОБЛАСТНОГО БЮДЖЕТА НА 2022 ГОД И НА ПЛАНОВЫЙ ПЕРИОД</w:t>
      </w:r>
    </w:p>
    <w:p>
      <w:pPr>
        <w:pStyle w:val="2"/>
        <w:jc w:val="center"/>
      </w:pPr>
      <w:r>
        <w:rPr>
          <w:sz w:val="20"/>
        </w:rPr>
        <w:t xml:space="preserve">2023 И 2024 ГОДОВ</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850"/>
        <w:gridCol w:w="3798"/>
        <w:gridCol w:w="1473"/>
        <w:gridCol w:w="1473"/>
        <w:gridCol w:w="1474"/>
      </w:tblGrid>
      <w:tr>
        <w:tc>
          <w:tcPr>
            <w:tcW w:w="850" w:type="dxa"/>
            <w:vMerge w:val="restart"/>
          </w:tcPr>
          <w:p>
            <w:pPr>
              <w:pStyle w:val="0"/>
              <w:jc w:val="center"/>
            </w:pPr>
            <w:r>
              <w:rPr>
                <w:sz w:val="20"/>
              </w:rPr>
              <w:t xml:space="preserve">Глава</w:t>
            </w:r>
          </w:p>
        </w:tc>
        <w:tc>
          <w:tcPr>
            <w:tcW w:w="3798" w:type="dxa"/>
            <w:vMerge w:val="restart"/>
          </w:tcPr>
          <w:p>
            <w:pPr>
              <w:pStyle w:val="0"/>
              <w:jc w:val="center"/>
            </w:pPr>
            <w:r>
              <w:rPr>
                <w:sz w:val="20"/>
              </w:rPr>
              <w:t xml:space="preserve">Наименование главных распорядителей средств областного бюджета</w:t>
            </w:r>
          </w:p>
        </w:tc>
        <w:tc>
          <w:tcPr>
            <w:gridSpan w:val="3"/>
            <w:tcW w:w="4420" w:type="dxa"/>
          </w:tcPr>
          <w:p>
            <w:pPr>
              <w:pStyle w:val="0"/>
              <w:jc w:val="center"/>
            </w:pPr>
            <w:r>
              <w:rPr>
                <w:sz w:val="20"/>
              </w:rPr>
              <w:t xml:space="preserve">Предельные объемы в тыс. руб.</w:t>
            </w:r>
          </w:p>
        </w:tc>
      </w:tr>
      <w:tr>
        <w:tc>
          <w:tcPr>
            <w:vMerge w:val="continue"/>
          </w:tcPr>
          <w:p/>
        </w:tc>
        <w:tc>
          <w:tcPr>
            <w:vMerge w:val="continue"/>
          </w:tcPr>
          <w:p/>
        </w:tc>
        <w:tc>
          <w:tcPr>
            <w:tcW w:w="1473" w:type="dxa"/>
          </w:tcPr>
          <w:p>
            <w:pPr>
              <w:pStyle w:val="0"/>
              <w:jc w:val="center"/>
            </w:pPr>
            <w:r>
              <w:rPr>
                <w:sz w:val="20"/>
              </w:rPr>
              <w:t xml:space="preserve">2022 год</w:t>
            </w:r>
          </w:p>
        </w:tc>
        <w:tc>
          <w:tcPr>
            <w:tcW w:w="1473" w:type="dxa"/>
          </w:tcPr>
          <w:p>
            <w:pPr>
              <w:pStyle w:val="0"/>
              <w:jc w:val="center"/>
            </w:pPr>
            <w:r>
              <w:rPr>
                <w:sz w:val="20"/>
              </w:rPr>
              <w:t xml:space="preserve">2023 год</w:t>
            </w:r>
          </w:p>
        </w:tc>
        <w:tc>
          <w:tcPr>
            <w:tcW w:w="1474" w:type="dxa"/>
          </w:tcPr>
          <w:p>
            <w:pPr>
              <w:pStyle w:val="0"/>
              <w:jc w:val="center"/>
            </w:pPr>
            <w:r>
              <w:rPr>
                <w:sz w:val="20"/>
              </w:rPr>
              <w:t xml:space="preserve">2024 год</w:t>
            </w:r>
          </w:p>
        </w:tc>
      </w:tr>
      <w:tr>
        <w:tc>
          <w:tcPr>
            <w:tcW w:w="850" w:type="dxa"/>
          </w:tcPr>
          <w:p>
            <w:pPr>
              <w:pStyle w:val="0"/>
              <w:jc w:val="center"/>
            </w:pPr>
            <w:r>
              <w:rPr>
                <w:sz w:val="20"/>
              </w:rPr>
              <w:t xml:space="preserve">501</w:t>
            </w:r>
          </w:p>
        </w:tc>
        <w:tc>
          <w:tcPr>
            <w:tcW w:w="3798" w:type="dxa"/>
          </w:tcPr>
          <w:p>
            <w:pPr>
              <w:pStyle w:val="0"/>
            </w:pPr>
            <w:r>
              <w:rPr>
                <w:sz w:val="20"/>
              </w:rPr>
              <w:t xml:space="preserve">Законодательное Собрание Владимирской области</w:t>
            </w:r>
          </w:p>
        </w:tc>
        <w:tc>
          <w:tcPr>
            <w:tcW w:w="1473" w:type="dxa"/>
          </w:tcPr>
          <w:p>
            <w:pPr>
              <w:pStyle w:val="0"/>
              <w:jc w:val="center"/>
            </w:pPr>
            <w:r>
              <w:rPr>
                <w:sz w:val="20"/>
              </w:rPr>
              <w:t xml:space="preserve">133797,4</w:t>
            </w:r>
          </w:p>
        </w:tc>
        <w:tc>
          <w:tcPr>
            <w:tcW w:w="1473" w:type="dxa"/>
          </w:tcPr>
          <w:p>
            <w:pPr>
              <w:pStyle w:val="0"/>
              <w:jc w:val="center"/>
            </w:pPr>
            <w:r>
              <w:rPr>
                <w:sz w:val="20"/>
              </w:rPr>
              <w:t xml:space="preserve">133797,4</w:t>
            </w:r>
          </w:p>
        </w:tc>
        <w:tc>
          <w:tcPr>
            <w:tcW w:w="1474" w:type="dxa"/>
          </w:tcPr>
          <w:p>
            <w:pPr>
              <w:pStyle w:val="0"/>
              <w:jc w:val="center"/>
            </w:pPr>
            <w:r>
              <w:rPr>
                <w:sz w:val="20"/>
              </w:rPr>
              <w:t xml:space="preserve">133797,4</w:t>
            </w:r>
          </w:p>
        </w:tc>
      </w:tr>
      <w:tr>
        <w:tc>
          <w:tcPr>
            <w:tcW w:w="850" w:type="dxa"/>
          </w:tcPr>
          <w:p>
            <w:pPr>
              <w:pStyle w:val="0"/>
              <w:jc w:val="center"/>
            </w:pPr>
            <w:r>
              <w:rPr>
                <w:sz w:val="20"/>
              </w:rPr>
              <w:t xml:space="preserve">503</w:t>
            </w:r>
          </w:p>
        </w:tc>
        <w:tc>
          <w:tcPr>
            <w:tcW w:w="3798" w:type="dxa"/>
          </w:tcPr>
          <w:p>
            <w:pPr>
              <w:pStyle w:val="0"/>
            </w:pPr>
            <w:r>
              <w:rPr>
                <w:sz w:val="20"/>
              </w:rPr>
              <w:t xml:space="preserve">Администрация Владимирской области</w:t>
            </w:r>
          </w:p>
        </w:tc>
        <w:tc>
          <w:tcPr>
            <w:tcW w:w="1473" w:type="dxa"/>
          </w:tcPr>
          <w:p>
            <w:pPr>
              <w:pStyle w:val="0"/>
              <w:jc w:val="center"/>
            </w:pPr>
            <w:r>
              <w:rPr>
                <w:sz w:val="20"/>
              </w:rPr>
              <w:t xml:space="preserve">578774,4</w:t>
            </w:r>
          </w:p>
        </w:tc>
        <w:tc>
          <w:tcPr>
            <w:tcW w:w="1473" w:type="dxa"/>
          </w:tcPr>
          <w:p>
            <w:pPr>
              <w:pStyle w:val="0"/>
              <w:jc w:val="center"/>
            </w:pPr>
            <w:r>
              <w:rPr>
                <w:sz w:val="20"/>
              </w:rPr>
              <w:t xml:space="preserve">578774,4</w:t>
            </w:r>
          </w:p>
        </w:tc>
        <w:tc>
          <w:tcPr>
            <w:tcW w:w="1474" w:type="dxa"/>
          </w:tcPr>
          <w:p>
            <w:pPr>
              <w:pStyle w:val="0"/>
              <w:jc w:val="center"/>
            </w:pPr>
            <w:r>
              <w:rPr>
                <w:sz w:val="20"/>
              </w:rPr>
              <w:t xml:space="preserve">578774,4</w:t>
            </w:r>
          </w:p>
        </w:tc>
      </w:tr>
      <w:tr>
        <w:tc>
          <w:tcPr>
            <w:tcW w:w="850" w:type="dxa"/>
          </w:tcPr>
          <w:p>
            <w:pPr>
              <w:pStyle w:val="0"/>
              <w:jc w:val="center"/>
            </w:pPr>
            <w:r>
              <w:rPr>
                <w:sz w:val="20"/>
              </w:rPr>
              <w:t xml:space="preserve">504</w:t>
            </w:r>
          </w:p>
        </w:tc>
        <w:tc>
          <w:tcPr>
            <w:tcW w:w="3798" w:type="dxa"/>
          </w:tcPr>
          <w:p>
            <w:pPr>
              <w:pStyle w:val="0"/>
            </w:pPr>
            <w:r>
              <w:rPr>
                <w:sz w:val="20"/>
              </w:rPr>
              <w:t xml:space="preserve">Департамент региональной политики Владимирской области</w:t>
            </w:r>
          </w:p>
        </w:tc>
        <w:tc>
          <w:tcPr>
            <w:tcW w:w="1473" w:type="dxa"/>
          </w:tcPr>
          <w:p>
            <w:pPr>
              <w:pStyle w:val="0"/>
              <w:jc w:val="center"/>
            </w:pPr>
            <w:r>
              <w:rPr>
                <w:sz w:val="20"/>
              </w:rPr>
              <w:t xml:space="preserve">104537,8</w:t>
            </w:r>
          </w:p>
        </w:tc>
        <w:tc>
          <w:tcPr>
            <w:tcW w:w="1473" w:type="dxa"/>
          </w:tcPr>
          <w:p>
            <w:pPr>
              <w:pStyle w:val="0"/>
              <w:jc w:val="center"/>
            </w:pPr>
            <w:r>
              <w:rPr>
                <w:sz w:val="20"/>
              </w:rPr>
              <w:t xml:space="preserve">104537,8</w:t>
            </w:r>
          </w:p>
        </w:tc>
        <w:tc>
          <w:tcPr>
            <w:tcW w:w="1474" w:type="dxa"/>
          </w:tcPr>
          <w:p>
            <w:pPr>
              <w:pStyle w:val="0"/>
              <w:jc w:val="center"/>
            </w:pPr>
            <w:r>
              <w:rPr>
                <w:sz w:val="20"/>
              </w:rPr>
              <w:t xml:space="preserve">104537,8</w:t>
            </w:r>
          </w:p>
        </w:tc>
      </w:tr>
      <w:tr>
        <w:tc>
          <w:tcPr>
            <w:tcW w:w="850" w:type="dxa"/>
          </w:tcPr>
          <w:p>
            <w:pPr>
              <w:pStyle w:val="0"/>
              <w:jc w:val="center"/>
            </w:pPr>
            <w:r>
              <w:rPr>
                <w:sz w:val="20"/>
              </w:rPr>
              <w:t xml:space="preserve">505</w:t>
            </w:r>
          </w:p>
        </w:tc>
        <w:tc>
          <w:tcPr>
            <w:tcW w:w="3798" w:type="dxa"/>
          </w:tcPr>
          <w:p>
            <w:pPr>
              <w:pStyle w:val="0"/>
            </w:pPr>
            <w:r>
              <w:rPr>
                <w:sz w:val="20"/>
              </w:rPr>
              <w:t xml:space="preserve">Счетная палата Владимирской области</w:t>
            </w:r>
          </w:p>
        </w:tc>
        <w:tc>
          <w:tcPr>
            <w:tcW w:w="1473" w:type="dxa"/>
          </w:tcPr>
          <w:p>
            <w:pPr>
              <w:pStyle w:val="0"/>
              <w:jc w:val="center"/>
            </w:pPr>
            <w:r>
              <w:rPr>
                <w:sz w:val="20"/>
              </w:rPr>
              <w:t xml:space="preserve">53472,6</w:t>
            </w:r>
          </w:p>
        </w:tc>
        <w:tc>
          <w:tcPr>
            <w:tcW w:w="1473" w:type="dxa"/>
          </w:tcPr>
          <w:p>
            <w:pPr>
              <w:pStyle w:val="0"/>
              <w:jc w:val="center"/>
            </w:pPr>
            <w:r>
              <w:rPr>
                <w:sz w:val="20"/>
              </w:rPr>
              <w:t xml:space="preserve">53472,6</w:t>
            </w:r>
          </w:p>
        </w:tc>
        <w:tc>
          <w:tcPr>
            <w:tcW w:w="1474" w:type="dxa"/>
          </w:tcPr>
          <w:p>
            <w:pPr>
              <w:pStyle w:val="0"/>
              <w:jc w:val="center"/>
            </w:pPr>
            <w:r>
              <w:rPr>
                <w:sz w:val="20"/>
              </w:rPr>
              <w:t xml:space="preserve">53472,6</w:t>
            </w:r>
          </w:p>
        </w:tc>
      </w:tr>
      <w:tr>
        <w:tc>
          <w:tcPr>
            <w:tcW w:w="850" w:type="dxa"/>
          </w:tcPr>
          <w:p>
            <w:pPr>
              <w:pStyle w:val="0"/>
              <w:jc w:val="center"/>
            </w:pPr>
            <w:r>
              <w:rPr>
                <w:sz w:val="20"/>
              </w:rPr>
              <w:t xml:space="preserve">508</w:t>
            </w:r>
          </w:p>
        </w:tc>
        <w:tc>
          <w:tcPr>
            <w:tcW w:w="3798" w:type="dxa"/>
          </w:tcPr>
          <w:p>
            <w:pPr>
              <w:pStyle w:val="0"/>
            </w:pPr>
            <w:r>
              <w:rPr>
                <w:sz w:val="20"/>
              </w:rPr>
              <w:t xml:space="preserve">Избирательная комиссия Владимирской области</w:t>
            </w:r>
          </w:p>
        </w:tc>
        <w:tc>
          <w:tcPr>
            <w:tcW w:w="1473" w:type="dxa"/>
          </w:tcPr>
          <w:p>
            <w:pPr>
              <w:pStyle w:val="0"/>
              <w:jc w:val="center"/>
            </w:pPr>
            <w:r>
              <w:rPr>
                <w:sz w:val="20"/>
              </w:rPr>
              <w:t xml:space="preserve">62991,8</w:t>
            </w:r>
          </w:p>
        </w:tc>
        <w:tc>
          <w:tcPr>
            <w:tcW w:w="1473" w:type="dxa"/>
          </w:tcPr>
          <w:p>
            <w:pPr>
              <w:pStyle w:val="0"/>
              <w:jc w:val="center"/>
            </w:pPr>
            <w:r>
              <w:rPr>
                <w:sz w:val="20"/>
              </w:rPr>
              <w:t xml:space="preserve">240031,3</w:t>
            </w:r>
          </w:p>
        </w:tc>
        <w:tc>
          <w:tcPr>
            <w:tcW w:w="1474" w:type="dxa"/>
          </w:tcPr>
          <w:p>
            <w:pPr>
              <w:pStyle w:val="0"/>
              <w:jc w:val="center"/>
            </w:pPr>
            <w:r>
              <w:rPr>
                <w:sz w:val="20"/>
              </w:rPr>
              <w:t xml:space="preserve">62991,8</w:t>
            </w:r>
          </w:p>
        </w:tc>
      </w:tr>
      <w:tr>
        <w:tc>
          <w:tcPr>
            <w:tcW w:w="850" w:type="dxa"/>
          </w:tcPr>
          <w:p>
            <w:pPr>
              <w:pStyle w:val="0"/>
              <w:jc w:val="center"/>
            </w:pPr>
            <w:r>
              <w:rPr>
                <w:sz w:val="20"/>
              </w:rPr>
              <w:t xml:space="preserve">510</w:t>
            </w:r>
          </w:p>
        </w:tc>
        <w:tc>
          <w:tcPr>
            <w:tcW w:w="3798" w:type="dxa"/>
          </w:tcPr>
          <w:p>
            <w:pPr>
              <w:pStyle w:val="0"/>
            </w:pPr>
            <w:r>
              <w:rPr>
                <w:sz w:val="20"/>
              </w:rPr>
              <w:t xml:space="preserve">Департамент регионального развития Владимирской области</w:t>
            </w:r>
          </w:p>
        </w:tc>
        <w:tc>
          <w:tcPr>
            <w:tcW w:w="1473" w:type="dxa"/>
          </w:tcPr>
          <w:p>
            <w:pPr>
              <w:pStyle w:val="0"/>
              <w:jc w:val="center"/>
            </w:pPr>
            <w:r>
              <w:rPr>
                <w:sz w:val="20"/>
              </w:rPr>
              <w:t xml:space="preserve">226060,3</w:t>
            </w:r>
          </w:p>
        </w:tc>
        <w:tc>
          <w:tcPr>
            <w:tcW w:w="1473" w:type="dxa"/>
          </w:tcPr>
          <w:p>
            <w:pPr>
              <w:pStyle w:val="0"/>
              <w:jc w:val="center"/>
            </w:pPr>
            <w:r>
              <w:rPr>
                <w:sz w:val="20"/>
              </w:rPr>
              <w:t xml:space="preserve">226060,3</w:t>
            </w:r>
          </w:p>
        </w:tc>
        <w:tc>
          <w:tcPr>
            <w:tcW w:w="1474" w:type="dxa"/>
          </w:tcPr>
          <w:p>
            <w:pPr>
              <w:pStyle w:val="0"/>
              <w:jc w:val="center"/>
            </w:pPr>
            <w:r>
              <w:rPr>
                <w:sz w:val="20"/>
              </w:rPr>
              <w:t xml:space="preserve">226060,3</w:t>
            </w:r>
          </w:p>
        </w:tc>
      </w:tr>
      <w:tr>
        <w:tc>
          <w:tcPr>
            <w:tcW w:w="850" w:type="dxa"/>
          </w:tcPr>
          <w:p>
            <w:pPr>
              <w:pStyle w:val="0"/>
              <w:jc w:val="center"/>
            </w:pPr>
            <w:r>
              <w:rPr>
                <w:sz w:val="20"/>
              </w:rPr>
              <w:t xml:space="preserve">513</w:t>
            </w:r>
          </w:p>
        </w:tc>
        <w:tc>
          <w:tcPr>
            <w:tcW w:w="3798" w:type="dxa"/>
          </w:tcPr>
          <w:p>
            <w:pPr>
              <w:pStyle w:val="0"/>
            </w:pPr>
            <w:r>
              <w:rPr>
                <w:sz w:val="20"/>
              </w:rPr>
              <w:t xml:space="preserve">Департамент транспорта и дорожного хозяйства Владимирской области</w:t>
            </w:r>
          </w:p>
        </w:tc>
        <w:tc>
          <w:tcPr>
            <w:tcW w:w="1473" w:type="dxa"/>
          </w:tcPr>
          <w:p>
            <w:pPr>
              <w:pStyle w:val="0"/>
              <w:jc w:val="center"/>
            </w:pPr>
            <w:r>
              <w:rPr>
                <w:sz w:val="20"/>
              </w:rPr>
              <w:t xml:space="preserve">7668184,8</w:t>
            </w:r>
          </w:p>
        </w:tc>
        <w:tc>
          <w:tcPr>
            <w:tcW w:w="1473" w:type="dxa"/>
          </w:tcPr>
          <w:p>
            <w:pPr>
              <w:pStyle w:val="0"/>
              <w:jc w:val="center"/>
            </w:pPr>
            <w:r>
              <w:rPr>
                <w:sz w:val="20"/>
              </w:rPr>
              <w:t xml:space="preserve">7955205,3</w:t>
            </w:r>
          </w:p>
        </w:tc>
        <w:tc>
          <w:tcPr>
            <w:tcW w:w="1474" w:type="dxa"/>
          </w:tcPr>
          <w:p>
            <w:pPr>
              <w:pStyle w:val="0"/>
              <w:jc w:val="center"/>
            </w:pPr>
            <w:r>
              <w:rPr>
                <w:sz w:val="20"/>
              </w:rPr>
              <w:t xml:space="preserve">7935214,4</w:t>
            </w:r>
          </w:p>
        </w:tc>
      </w:tr>
      <w:tr>
        <w:tc>
          <w:tcPr>
            <w:tcW w:w="850" w:type="dxa"/>
          </w:tcPr>
          <w:p>
            <w:pPr>
              <w:pStyle w:val="0"/>
              <w:jc w:val="center"/>
            </w:pPr>
            <w:r>
              <w:rPr>
                <w:sz w:val="20"/>
              </w:rPr>
              <w:t xml:space="preserve">518</w:t>
            </w:r>
          </w:p>
        </w:tc>
        <w:tc>
          <w:tcPr>
            <w:tcW w:w="3798" w:type="dxa"/>
          </w:tcPr>
          <w:p>
            <w:pPr>
              <w:pStyle w:val="0"/>
            </w:pPr>
            <w:r>
              <w:rPr>
                <w:sz w:val="20"/>
              </w:rPr>
              <w:t xml:space="preserve">Департамент юстиции Владимирской области</w:t>
            </w:r>
          </w:p>
        </w:tc>
        <w:tc>
          <w:tcPr>
            <w:tcW w:w="1473" w:type="dxa"/>
          </w:tcPr>
          <w:p>
            <w:pPr>
              <w:pStyle w:val="0"/>
              <w:jc w:val="center"/>
            </w:pPr>
            <w:r>
              <w:rPr>
                <w:sz w:val="20"/>
              </w:rPr>
              <w:t xml:space="preserve">370814,1</w:t>
            </w:r>
          </w:p>
        </w:tc>
        <w:tc>
          <w:tcPr>
            <w:tcW w:w="1473" w:type="dxa"/>
          </w:tcPr>
          <w:p>
            <w:pPr>
              <w:pStyle w:val="0"/>
              <w:jc w:val="center"/>
            </w:pPr>
            <w:r>
              <w:rPr>
                <w:sz w:val="20"/>
              </w:rPr>
              <w:t xml:space="preserve">327890,5</w:t>
            </w:r>
          </w:p>
        </w:tc>
        <w:tc>
          <w:tcPr>
            <w:tcW w:w="1474" w:type="dxa"/>
          </w:tcPr>
          <w:p>
            <w:pPr>
              <w:pStyle w:val="0"/>
              <w:jc w:val="center"/>
            </w:pPr>
            <w:r>
              <w:rPr>
                <w:sz w:val="20"/>
              </w:rPr>
              <w:t xml:space="preserve">318785,9</w:t>
            </w:r>
          </w:p>
        </w:tc>
      </w:tr>
      <w:tr>
        <w:tc>
          <w:tcPr>
            <w:tcW w:w="850" w:type="dxa"/>
          </w:tcPr>
          <w:p>
            <w:pPr>
              <w:pStyle w:val="0"/>
              <w:jc w:val="center"/>
            </w:pPr>
            <w:r>
              <w:rPr>
                <w:sz w:val="20"/>
              </w:rPr>
              <w:t xml:space="preserve">531</w:t>
            </w:r>
          </w:p>
        </w:tc>
        <w:tc>
          <w:tcPr>
            <w:tcW w:w="3798" w:type="dxa"/>
          </w:tcPr>
          <w:p>
            <w:pPr>
              <w:pStyle w:val="0"/>
            </w:pPr>
            <w:r>
              <w:rPr>
                <w:sz w:val="20"/>
              </w:rPr>
              <w:t xml:space="preserve">Инспекция государственного строительного надзора администрации Владимирской области</w:t>
            </w:r>
          </w:p>
        </w:tc>
        <w:tc>
          <w:tcPr>
            <w:tcW w:w="1473" w:type="dxa"/>
          </w:tcPr>
          <w:p>
            <w:pPr>
              <w:pStyle w:val="0"/>
              <w:jc w:val="center"/>
            </w:pPr>
            <w:r>
              <w:rPr>
                <w:sz w:val="20"/>
              </w:rPr>
              <w:t xml:space="preserve">21594,1</w:t>
            </w:r>
          </w:p>
        </w:tc>
        <w:tc>
          <w:tcPr>
            <w:tcW w:w="1473" w:type="dxa"/>
          </w:tcPr>
          <w:p>
            <w:pPr>
              <w:pStyle w:val="0"/>
              <w:jc w:val="center"/>
            </w:pPr>
            <w:r>
              <w:rPr>
                <w:sz w:val="20"/>
              </w:rPr>
              <w:t xml:space="preserve">21594,1</w:t>
            </w:r>
          </w:p>
        </w:tc>
        <w:tc>
          <w:tcPr>
            <w:tcW w:w="1474" w:type="dxa"/>
          </w:tcPr>
          <w:p>
            <w:pPr>
              <w:pStyle w:val="0"/>
              <w:jc w:val="center"/>
            </w:pPr>
            <w:r>
              <w:rPr>
                <w:sz w:val="20"/>
              </w:rPr>
              <w:t xml:space="preserve">21594,1</w:t>
            </w:r>
          </w:p>
        </w:tc>
      </w:tr>
      <w:tr>
        <w:tc>
          <w:tcPr>
            <w:tcW w:w="850" w:type="dxa"/>
          </w:tcPr>
          <w:p>
            <w:pPr>
              <w:pStyle w:val="0"/>
              <w:jc w:val="center"/>
            </w:pPr>
            <w:r>
              <w:rPr>
                <w:sz w:val="20"/>
              </w:rPr>
              <w:t xml:space="preserve">532</w:t>
            </w:r>
          </w:p>
        </w:tc>
        <w:tc>
          <w:tcPr>
            <w:tcW w:w="3798" w:type="dxa"/>
          </w:tcPr>
          <w:p>
            <w:pPr>
              <w:pStyle w:val="0"/>
            </w:pPr>
            <w:r>
              <w:rPr>
                <w:sz w:val="20"/>
              </w:rPr>
              <w:t xml:space="preserve">Департамент архитектуры и строительства Владимирской области</w:t>
            </w:r>
          </w:p>
        </w:tc>
        <w:tc>
          <w:tcPr>
            <w:tcW w:w="1473" w:type="dxa"/>
          </w:tcPr>
          <w:p>
            <w:pPr>
              <w:pStyle w:val="0"/>
              <w:jc w:val="center"/>
            </w:pPr>
            <w:r>
              <w:rPr>
                <w:sz w:val="20"/>
              </w:rPr>
              <w:t xml:space="preserve">1274026,6</w:t>
            </w:r>
          </w:p>
        </w:tc>
        <w:tc>
          <w:tcPr>
            <w:tcW w:w="1473" w:type="dxa"/>
          </w:tcPr>
          <w:p>
            <w:pPr>
              <w:pStyle w:val="0"/>
              <w:jc w:val="center"/>
            </w:pPr>
            <w:r>
              <w:rPr>
                <w:sz w:val="20"/>
              </w:rPr>
              <w:t xml:space="preserve">1575262,3</w:t>
            </w:r>
          </w:p>
        </w:tc>
        <w:tc>
          <w:tcPr>
            <w:tcW w:w="1474" w:type="dxa"/>
          </w:tcPr>
          <w:p>
            <w:pPr>
              <w:pStyle w:val="0"/>
              <w:jc w:val="center"/>
            </w:pPr>
            <w:r>
              <w:rPr>
                <w:sz w:val="20"/>
              </w:rPr>
              <w:t xml:space="preserve">1289818,5</w:t>
            </w:r>
          </w:p>
        </w:tc>
      </w:tr>
      <w:tr>
        <w:tc>
          <w:tcPr>
            <w:tcW w:w="850" w:type="dxa"/>
          </w:tcPr>
          <w:p>
            <w:pPr>
              <w:pStyle w:val="0"/>
              <w:jc w:val="center"/>
            </w:pPr>
            <w:r>
              <w:rPr>
                <w:sz w:val="20"/>
              </w:rPr>
              <w:t xml:space="preserve">533</w:t>
            </w:r>
          </w:p>
        </w:tc>
        <w:tc>
          <w:tcPr>
            <w:tcW w:w="3798" w:type="dxa"/>
          </w:tcPr>
          <w:p>
            <w:pPr>
              <w:pStyle w:val="0"/>
            </w:pPr>
            <w:r>
              <w:rPr>
                <w:sz w:val="20"/>
              </w:rPr>
              <w:t xml:space="preserve">Департамент жилищно-коммунального хозяйства Владимирской области</w:t>
            </w:r>
          </w:p>
        </w:tc>
        <w:tc>
          <w:tcPr>
            <w:tcW w:w="1473" w:type="dxa"/>
          </w:tcPr>
          <w:p>
            <w:pPr>
              <w:pStyle w:val="0"/>
              <w:jc w:val="center"/>
            </w:pPr>
            <w:r>
              <w:rPr>
                <w:sz w:val="20"/>
              </w:rPr>
              <w:t xml:space="preserve">2277668,0</w:t>
            </w:r>
          </w:p>
        </w:tc>
        <w:tc>
          <w:tcPr>
            <w:tcW w:w="1473" w:type="dxa"/>
          </w:tcPr>
          <w:p>
            <w:pPr>
              <w:pStyle w:val="0"/>
              <w:jc w:val="center"/>
            </w:pPr>
            <w:r>
              <w:rPr>
                <w:sz w:val="20"/>
              </w:rPr>
              <w:t xml:space="preserve">2815567,2</w:t>
            </w:r>
          </w:p>
        </w:tc>
        <w:tc>
          <w:tcPr>
            <w:tcW w:w="1474" w:type="dxa"/>
          </w:tcPr>
          <w:p>
            <w:pPr>
              <w:pStyle w:val="0"/>
              <w:jc w:val="center"/>
            </w:pPr>
            <w:r>
              <w:rPr>
                <w:sz w:val="20"/>
              </w:rPr>
              <w:t xml:space="preserve">2697346,0</w:t>
            </w:r>
          </w:p>
        </w:tc>
      </w:tr>
      <w:tr>
        <w:tc>
          <w:tcPr>
            <w:tcW w:w="850" w:type="dxa"/>
          </w:tcPr>
          <w:p>
            <w:pPr>
              <w:pStyle w:val="0"/>
              <w:jc w:val="center"/>
            </w:pPr>
            <w:r>
              <w:rPr>
                <w:sz w:val="20"/>
              </w:rPr>
              <w:t xml:space="preserve">535</w:t>
            </w:r>
          </w:p>
        </w:tc>
        <w:tc>
          <w:tcPr>
            <w:tcW w:w="3798" w:type="dxa"/>
          </w:tcPr>
          <w:p>
            <w:pPr>
              <w:pStyle w:val="0"/>
            </w:pPr>
            <w:r>
              <w:rPr>
                <w:sz w:val="20"/>
              </w:rPr>
              <w:t xml:space="preserve">Инспекция государственного жилищного надзора Владимирской области</w:t>
            </w:r>
          </w:p>
        </w:tc>
        <w:tc>
          <w:tcPr>
            <w:tcW w:w="1473" w:type="dxa"/>
          </w:tcPr>
          <w:p>
            <w:pPr>
              <w:pStyle w:val="0"/>
              <w:jc w:val="center"/>
            </w:pPr>
            <w:r>
              <w:rPr>
                <w:sz w:val="20"/>
              </w:rPr>
              <w:t xml:space="preserve">36930,6</w:t>
            </w:r>
          </w:p>
        </w:tc>
        <w:tc>
          <w:tcPr>
            <w:tcW w:w="1473" w:type="dxa"/>
          </w:tcPr>
          <w:p>
            <w:pPr>
              <w:pStyle w:val="0"/>
              <w:jc w:val="center"/>
            </w:pPr>
            <w:r>
              <w:rPr>
                <w:sz w:val="20"/>
              </w:rPr>
              <w:t xml:space="preserve">36930,6</w:t>
            </w:r>
          </w:p>
        </w:tc>
        <w:tc>
          <w:tcPr>
            <w:tcW w:w="1474" w:type="dxa"/>
          </w:tcPr>
          <w:p>
            <w:pPr>
              <w:pStyle w:val="0"/>
              <w:jc w:val="center"/>
            </w:pPr>
            <w:r>
              <w:rPr>
                <w:sz w:val="20"/>
              </w:rPr>
              <w:t xml:space="preserve">36930,6</w:t>
            </w:r>
          </w:p>
        </w:tc>
      </w:tr>
      <w:tr>
        <w:tc>
          <w:tcPr>
            <w:tcW w:w="850" w:type="dxa"/>
          </w:tcPr>
          <w:p>
            <w:pPr>
              <w:pStyle w:val="0"/>
              <w:jc w:val="center"/>
            </w:pPr>
            <w:r>
              <w:rPr>
                <w:sz w:val="20"/>
              </w:rPr>
              <w:t xml:space="preserve">540</w:t>
            </w:r>
          </w:p>
        </w:tc>
        <w:tc>
          <w:tcPr>
            <w:tcW w:w="3798" w:type="dxa"/>
          </w:tcPr>
          <w:p>
            <w:pPr>
              <w:pStyle w:val="0"/>
            </w:pPr>
            <w:r>
              <w:rPr>
                <w:sz w:val="20"/>
              </w:rPr>
              <w:t xml:space="preserve">Департамент государственного регулирования цен и тарифов Владимирской области</w:t>
            </w:r>
          </w:p>
        </w:tc>
        <w:tc>
          <w:tcPr>
            <w:tcW w:w="1473" w:type="dxa"/>
          </w:tcPr>
          <w:p>
            <w:pPr>
              <w:pStyle w:val="0"/>
              <w:jc w:val="center"/>
            </w:pPr>
            <w:r>
              <w:rPr>
                <w:sz w:val="20"/>
              </w:rPr>
              <w:t xml:space="preserve">40902,6</w:t>
            </w:r>
          </w:p>
        </w:tc>
        <w:tc>
          <w:tcPr>
            <w:tcW w:w="1473" w:type="dxa"/>
          </w:tcPr>
          <w:p>
            <w:pPr>
              <w:pStyle w:val="0"/>
              <w:jc w:val="center"/>
            </w:pPr>
            <w:r>
              <w:rPr>
                <w:sz w:val="20"/>
              </w:rPr>
              <w:t xml:space="preserve">40902,6</w:t>
            </w:r>
          </w:p>
        </w:tc>
        <w:tc>
          <w:tcPr>
            <w:tcW w:w="1474" w:type="dxa"/>
          </w:tcPr>
          <w:p>
            <w:pPr>
              <w:pStyle w:val="0"/>
              <w:jc w:val="center"/>
            </w:pPr>
            <w:r>
              <w:rPr>
                <w:sz w:val="20"/>
              </w:rPr>
              <w:t xml:space="preserve">40902,6</w:t>
            </w:r>
          </w:p>
        </w:tc>
      </w:tr>
      <w:tr>
        <w:tc>
          <w:tcPr>
            <w:tcW w:w="850" w:type="dxa"/>
          </w:tcPr>
          <w:p>
            <w:pPr>
              <w:pStyle w:val="0"/>
              <w:jc w:val="center"/>
            </w:pPr>
            <w:r>
              <w:rPr>
                <w:sz w:val="20"/>
              </w:rPr>
              <w:t xml:space="preserve">541</w:t>
            </w:r>
          </w:p>
        </w:tc>
        <w:tc>
          <w:tcPr>
            <w:tcW w:w="3798" w:type="dxa"/>
          </w:tcPr>
          <w:p>
            <w:pPr>
              <w:pStyle w:val="0"/>
            </w:pPr>
            <w:r>
              <w:rPr>
                <w:sz w:val="20"/>
              </w:rPr>
              <w:t xml:space="preserve">Департамент экономического развития Владимирской области</w:t>
            </w:r>
          </w:p>
        </w:tc>
        <w:tc>
          <w:tcPr>
            <w:tcW w:w="1473" w:type="dxa"/>
          </w:tcPr>
          <w:p>
            <w:pPr>
              <w:pStyle w:val="0"/>
              <w:jc w:val="center"/>
            </w:pPr>
            <w:r>
              <w:rPr>
                <w:sz w:val="20"/>
              </w:rPr>
              <w:t xml:space="preserve">129835,5</w:t>
            </w:r>
          </w:p>
        </w:tc>
        <w:tc>
          <w:tcPr>
            <w:tcW w:w="1473" w:type="dxa"/>
          </w:tcPr>
          <w:p>
            <w:pPr>
              <w:pStyle w:val="0"/>
              <w:jc w:val="center"/>
            </w:pPr>
            <w:r>
              <w:rPr>
                <w:sz w:val="20"/>
              </w:rPr>
              <w:t xml:space="preserve">141226,6</w:t>
            </w:r>
          </w:p>
        </w:tc>
        <w:tc>
          <w:tcPr>
            <w:tcW w:w="1474" w:type="dxa"/>
          </w:tcPr>
          <w:p>
            <w:pPr>
              <w:pStyle w:val="0"/>
              <w:jc w:val="center"/>
            </w:pPr>
            <w:r>
              <w:rPr>
                <w:sz w:val="20"/>
              </w:rPr>
              <w:t xml:space="preserve">141226,6</w:t>
            </w:r>
          </w:p>
        </w:tc>
      </w:tr>
      <w:tr>
        <w:tc>
          <w:tcPr>
            <w:tcW w:w="850" w:type="dxa"/>
          </w:tcPr>
          <w:p>
            <w:pPr>
              <w:pStyle w:val="0"/>
              <w:jc w:val="center"/>
            </w:pPr>
            <w:r>
              <w:rPr>
                <w:sz w:val="20"/>
              </w:rPr>
              <w:t xml:space="preserve">542</w:t>
            </w:r>
          </w:p>
        </w:tc>
        <w:tc>
          <w:tcPr>
            <w:tcW w:w="3798" w:type="dxa"/>
          </w:tcPr>
          <w:p>
            <w:pPr>
              <w:pStyle w:val="0"/>
            </w:pPr>
            <w:r>
              <w:rPr>
                <w:sz w:val="20"/>
              </w:rPr>
              <w:t xml:space="preserve">Департамент предпринимательства Владимирской области</w:t>
            </w:r>
          </w:p>
        </w:tc>
        <w:tc>
          <w:tcPr>
            <w:tcW w:w="1473" w:type="dxa"/>
          </w:tcPr>
          <w:p>
            <w:pPr>
              <w:pStyle w:val="0"/>
              <w:jc w:val="center"/>
            </w:pPr>
            <w:r>
              <w:rPr>
                <w:sz w:val="20"/>
              </w:rPr>
              <w:t xml:space="preserve">264018,5</w:t>
            </w:r>
          </w:p>
        </w:tc>
        <w:tc>
          <w:tcPr>
            <w:tcW w:w="1473" w:type="dxa"/>
          </w:tcPr>
          <w:p>
            <w:pPr>
              <w:pStyle w:val="0"/>
              <w:jc w:val="center"/>
            </w:pPr>
            <w:r>
              <w:rPr>
                <w:sz w:val="20"/>
              </w:rPr>
              <w:t xml:space="preserve">289330,1</w:t>
            </w:r>
          </w:p>
        </w:tc>
        <w:tc>
          <w:tcPr>
            <w:tcW w:w="1474" w:type="dxa"/>
          </w:tcPr>
          <w:p>
            <w:pPr>
              <w:pStyle w:val="0"/>
              <w:jc w:val="center"/>
            </w:pPr>
            <w:r>
              <w:rPr>
                <w:sz w:val="20"/>
              </w:rPr>
              <w:t xml:space="preserve">289330,1</w:t>
            </w:r>
          </w:p>
        </w:tc>
      </w:tr>
      <w:tr>
        <w:tc>
          <w:tcPr>
            <w:tcW w:w="850" w:type="dxa"/>
          </w:tcPr>
          <w:p>
            <w:pPr>
              <w:pStyle w:val="0"/>
              <w:jc w:val="center"/>
            </w:pPr>
            <w:r>
              <w:rPr>
                <w:sz w:val="20"/>
              </w:rPr>
              <w:t xml:space="preserve">550</w:t>
            </w:r>
          </w:p>
        </w:tc>
        <w:tc>
          <w:tcPr>
            <w:tcW w:w="3798" w:type="dxa"/>
          </w:tcPr>
          <w:p>
            <w:pPr>
              <w:pStyle w:val="0"/>
            </w:pPr>
            <w:r>
              <w:rPr>
                <w:sz w:val="20"/>
              </w:rPr>
              <w:t xml:space="preserve">Департамент природопользования и охраны окружающей среды Владимирской области</w:t>
            </w:r>
          </w:p>
        </w:tc>
        <w:tc>
          <w:tcPr>
            <w:tcW w:w="1473" w:type="dxa"/>
          </w:tcPr>
          <w:p>
            <w:pPr>
              <w:pStyle w:val="0"/>
              <w:jc w:val="center"/>
            </w:pPr>
            <w:r>
              <w:rPr>
                <w:sz w:val="20"/>
              </w:rPr>
              <w:t xml:space="preserve">99753,0</w:t>
            </w:r>
          </w:p>
        </w:tc>
        <w:tc>
          <w:tcPr>
            <w:tcW w:w="1473" w:type="dxa"/>
          </w:tcPr>
          <w:p>
            <w:pPr>
              <w:pStyle w:val="0"/>
              <w:jc w:val="center"/>
            </w:pPr>
            <w:r>
              <w:rPr>
                <w:sz w:val="20"/>
              </w:rPr>
              <w:t xml:space="preserve">133401,8</w:t>
            </w:r>
          </w:p>
        </w:tc>
        <w:tc>
          <w:tcPr>
            <w:tcW w:w="1474" w:type="dxa"/>
          </w:tcPr>
          <w:p>
            <w:pPr>
              <w:pStyle w:val="0"/>
              <w:jc w:val="center"/>
            </w:pPr>
            <w:r>
              <w:rPr>
                <w:sz w:val="20"/>
              </w:rPr>
              <w:t xml:space="preserve">133401,8</w:t>
            </w:r>
          </w:p>
        </w:tc>
      </w:tr>
      <w:tr>
        <w:tc>
          <w:tcPr>
            <w:tcW w:w="850" w:type="dxa"/>
          </w:tcPr>
          <w:p>
            <w:pPr>
              <w:pStyle w:val="0"/>
              <w:jc w:val="center"/>
            </w:pPr>
            <w:r>
              <w:rPr>
                <w:sz w:val="20"/>
              </w:rPr>
              <w:t xml:space="preserve">551</w:t>
            </w:r>
          </w:p>
        </w:tc>
        <w:tc>
          <w:tcPr>
            <w:tcW w:w="3798" w:type="dxa"/>
          </w:tcPr>
          <w:p>
            <w:pPr>
              <w:pStyle w:val="0"/>
            </w:pPr>
            <w:r>
              <w:rPr>
                <w:sz w:val="20"/>
              </w:rPr>
              <w:t xml:space="preserve">Департамент труда и занятости населения Владимирской области</w:t>
            </w:r>
          </w:p>
        </w:tc>
        <w:tc>
          <w:tcPr>
            <w:tcW w:w="1473" w:type="dxa"/>
          </w:tcPr>
          <w:p>
            <w:pPr>
              <w:pStyle w:val="0"/>
              <w:jc w:val="center"/>
            </w:pPr>
            <w:r>
              <w:rPr>
                <w:sz w:val="20"/>
              </w:rPr>
              <w:t xml:space="preserve">1112422,7</w:t>
            </w:r>
          </w:p>
        </w:tc>
        <w:tc>
          <w:tcPr>
            <w:tcW w:w="1473" w:type="dxa"/>
          </w:tcPr>
          <w:p>
            <w:pPr>
              <w:pStyle w:val="0"/>
              <w:jc w:val="center"/>
            </w:pPr>
            <w:r>
              <w:rPr>
                <w:sz w:val="20"/>
              </w:rPr>
              <w:t xml:space="preserve">1115652,2</w:t>
            </w:r>
          </w:p>
        </w:tc>
        <w:tc>
          <w:tcPr>
            <w:tcW w:w="1474" w:type="dxa"/>
          </w:tcPr>
          <w:p>
            <w:pPr>
              <w:pStyle w:val="0"/>
              <w:jc w:val="center"/>
            </w:pPr>
            <w:r>
              <w:rPr>
                <w:sz w:val="20"/>
              </w:rPr>
              <w:t xml:space="preserve">1115652,2</w:t>
            </w:r>
          </w:p>
        </w:tc>
      </w:tr>
      <w:tr>
        <w:tc>
          <w:tcPr>
            <w:tcW w:w="850" w:type="dxa"/>
          </w:tcPr>
          <w:p>
            <w:pPr>
              <w:pStyle w:val="0"/>
              <w:jc w:val="center"/>
            </w:pPr>
            <w:r>
              <w:rPr>
                <w:sz w:val="20"/>
              </w:rPr>
              <w:t xml:space="preserve">554</w:t>
            </w:r>
          </w:p>
        </w:tc>
        <w:tc>
          <w:tcPr>
            <w:tcW w:w="3798" w:type="dxa"/>
          </w:tcPr>
          <w:p>
            <w:pPr>
              <w:pStyle w:val="0"/>
            </w:pPr>
            <w:r>
              <w:rPr>
                <w:sz w:val="20"/>
              </w:rPr>
              <w:t xml:space="preserve">Департамент лесного хозяйства Владимирской области</w:t>
            </w:r>
          </w:p>
        </w:tc>
        <w:tc>
          <w:tcPr>
            <w:tcW w:w="1473" w:type="dxa"/>
          </w:tcPr>
          <w:p>
            <w:pPr>
              <w:pStyle w:val="0"/>
              <w:jc w:val="center"/>
            </w:pPr>
            <w:r>
              <w:rPr>
                <w:sz w:val="20"/>
              </w:rPr>
              <w:t xml:space="preserve">519346,2</w:t>
            </w:r>
          </w:p>
        </w:tc>
        <w:tc>
          <w:tcPr>
            <w:tcW w:w="1473" w:type="dxa"/>
          </w:tcPr>
          <w:p>
            <w:pPr>
              <w:pStyle w:val="0"/>
              <w:jc w:val="center"/>
            </w:pPr>
            <w:r>
              <w:rPr>
                <w:sz w:val="20"/>
              </w:rPr>
              <w:t xml:space="preserve">528168,0</w:t>
            </w:r>
          </w:p>
        </w:tc>
        <w:tc>
          <w:tcPr>
            <w:tcW w:w="1474" w:type="dxa"/>
          </w:tcPr>
          <w:p>
            <w:pPr>
              <w:pStyle w:val="0"/>
              <w:jc w:val="center"/>
            </w:pPr>
            <w:r>
              <w:rPr>
                <w:sz w:val="20"/>
              </w:rPr>
              <w:t xml:space="preserve">528168,0</w:t>
            </w:r>
          </w:p>
        </w:tc>
      </w:tr>
      <w:tr>
        <w:tc>
          <w:tcPr>
            <w:tcW w:w="850" w:type="dxa"/>
          </w:tcPr>
          <w:p>
            <w:pPr>
              <w:pStyle w:val="0"/>
              <w:jc w:val="center"/>
            </w:pPr>
            <w:r>
              <w:rPr>
                <w:sz w:val="20"/>
              </w:rPr>
              <w:t xml:space="preserve">555</w:t>
            </w:r>
          </w:p>
        </w:tc>
        <w:tc>
          <w:tcPr>
            <w:tcW w:w="3798" w:type="dxa"/>
          </w:tcPr>
          <w:p>
            <w:pPr>
              <w:pStyle w:val="0"/>
            </w:pPr>
            <w:r>
              <w:rPr>
                <w:sz w:val="20"/>
              </w:rPr>
              <w:t xml:space="preserve">Департамент здравоохранения Владимирской области</w:t>
            </w:r>
          </w:p>
        </w:tc>
        <w:tc>
          <w:tcPr>
            <w:tcW w:w="1473" w:type="dxa"/>
          </w:tcPr>
          <w:p>
            <w:pPr>
              <w:pStyle w:val="0"/>
              <w:jc w:val="center"/>
            </w:pPr>
            <w:r>
              <w:rPr>
                <w:sz w:val="20"/>
              </w:rPr>
              <w:t xml:space="preserve">13379294,7</w:t>
            </w:r>
          </w:p>
        </w:tc>
        <w:tc>
          <w:tcPr>
            <w:tcW w:w="1473" w:type="dxa"/>
          </w:tcPr>
          <w:p>
            <w:pPr>
              <w:pStyle w:val="0"/>
              <w:jc w:val="center"/>
            </w:pPr>
            <w:r>
              <w:rPr>
                <w:sz w:val="20"/>
              </w:rPr>
              <w:t xml:space="preserve">12964114,2</w:t>
            </w:r>
          </w:p>
        </w:tc>
        <w:tc>
          <w:tcPr>
            <w:tcW w:w="1474" w:type="dxa"/>
          </w:tcPr>
          <w:p>
            <w:pPr>
              <w:pStyle w:val="0"/>
              <w:jc w:val="center"/>
            </w:pPr>
            <w:r>
              <w:rPr>
                <w:sz w:val="20"/>
              </w:rPr>
              <w:t xml:space="preserve">13005300,4</w:t>
            </w:r>
          </w:p>
        </w:tc>
      </w:tr>
      <w:tr>
        <w:tc>
          <w:tcPr>
            <w:tcW w:w="850" w:type="dxa"/>
          </w:tcPr>
          <w:p>
            <w:pPr>
              <w:pStyle w:val="0"/>
              <w:jc w:val="center"/>
            </w:pPr>
            <w:r>
              <w:rPr>
                <w:sz w:val="20"/>
              </w:rPr>
              <w:t xml:space="preserve">558</w:t>
            </w:r>
          </w:p>
        </w:tc>
        <w:tc>
          <w:tcPr>
            <w:tcW w:w="3798" w:type="dxa"/>
          </w:tcPr>
          <w:p>
            <w:pPr>
              <w:pStyle w:val="0"/>
            </w:pPr>
            <w:r>
              <w:rPr>
                <w:sz w:val="20"/>
              </w:rPr>
              <w:t xml:space="preserve">Департамент культуры Владимирской области</w:t>
            </w:r>
          </w:p>
        </w:tc>
        <w:tc>
          <w:tcPr>
            <w:tcW w:w="1473" w:type="dxa"/>
          </w:tcPr>
          <w:p>
            <w:pPr>
              <w:pStyle w:val="0"/>
              <w:jc w:val="center"/>
            </w:pPr>
            <w:r>
              <w:rPr>
                <w:sz w:val="20"/>
              </w:rPr>
              <w:t xml:space="preserve">1779103,2</w:t>
            </w:r>
          </w:p>
        </w:tc>
        <w:tc>
          <w:tcPr>
            <w:tcW w:w="1473" w:type="dxa"/>
          </w:tcPr>
          <w:p>
            <w:pPr>
              <w:pStyle w:val="0"/>
              <w:jc w:val="center"/>
            </w:pPr>
            <w:r>
              <w:rPr>
                <w:sz w:val="20"/>
              </w:rPr>
              <w:t xml:space="preserve">1823067,7</w:t>
            </w:r>
          </w:p>
        </w:tc>
        <w:tc>
          <w:tcPr>
            <w:tcW w:w="1474" w:type="dxa"/>
          </w:tcPr>
          <w:p>
            <w:pPr>
              <w:pStyle w:val="0"/>
              <w:jc w:val="center"/>
            </w:pPr>
            <w:r>
              <w:rPr>
                <w:sz w:val="20"/>
              </w:rPr>
              <w:t xml:space="preserve">1823067,7</w:t>
            </w:r>
          </w:p>
        </w:tc>
      </w:tr>
      <w:tr>
        <w:tc>
          <w:tcPr>
            <w:tcW w:w="850" w:type="dxa"/>
          </w:tcPr>
          <w:p>
            <w:pPr>
              <w:pStyle w:val="0"/>
              <w:jc w:val="center"/>
            </w:pPr>
            <w:r>
              <w:rPr>
                <w:sz w:val="20"/>
              </w:rPr>
              <w:t xml:space="preserve">559</w:t>
            </w:r>
          </w:p>
        </w:tc>
        <w:tc>
          <w:tcPr>
            <w:tcW w:w="3798" w:type="dxa"/>
          </w:tcPr>
          <w:p>
            <w:pPr>
              <w:pStyle w:val="0"/>
            </w:pPr>
            <w:r>
              <w:rPr>
                <w:sz w:val="20"/>
              </w:rPr>
              <w:t xml:space="preserve">Государственная инспекция по охране объектов культурного наследия администрации Владимирской области</w:t>
            </w:r>
          </w:p>
        </w:tc>
        <w:tc>
          <w:tcPr>
            <w:tcW w:w="1473" w:type="dxa"/>
          </w:tcPr>
          <w:p>
            <w:pPr>
              <w:pStyle w:val="0"/>
              <w:jc w:val="center"/>
            </w:pPr>
            <w:r>
              <w:rPr>
                <w:sz w:val="20"/>
              </w:rPr>
              <w:t xml:space="preserve">22046,4</w:t>
            </w:r>
          </w:p>
        </w:tc>
        <w:tc>
          <w:tcPr>
            <w:tcW w:w="1473" w:type="dxa"/>
          </w:tcPr>
          <w:p>
            <w:pPr>
              <w:pStyle w:val="0"/>
              <w:jc w:val="center"/>
            </w:pPr>
            <w:r>
              <w:rPr>
                <w:sz w:val="20"/>
              </w:rPr>
              <w:t xml:space="preserve">22293,4</w:t>
            </w:r>
          </w:p>
        </w:tc>
        <w:tc>
          <w:tcPr>
            <w:tcW w:w="1474" w:type="dxa"/>
          </w:tcPr>
          <w:p>
            <w:pPr>
              <w:pStyle w:val="0"/>
              <w:jc w:val="center"/>
            </w:pPr>
            <w:r>
              <w:rPr>
                <w:sz w:val="20"/>
              </w:rPr>
              <w:t xml:space="preserve">22293,4</w:t>
            </w:r>
          </w:p>
        </w:tc>
      </w:tr>
      <w:tr>
        <w:tc>
          <w:tcPr>
            <w:tcW w:w="850" w:type="dxa"/>
          </w:tcPr>
          <w:p>
            <w:pPr>
              <w:pStyle w:val="0"/>
              <w:jc w:val="center"/>
            </w:pPr>
            <w:r>
              <w:rPr>
                <w:sz w:val="20"/>
              </w:rPr>
              <w:t xml:space="preserve">561</w:t>
            </w:r>
          </w:p>
        </w:tc>
        <w:tc>
          <w:tcPr>
            <w:tcW w:w="3798" w:type="dxa"/>
          </w:tcPr>
          <w:p>
            <w:pPr>
              <w:pStyle w:val="0"/>
            </w:pPr>
            <w:r>
              <w:rPr>
                <w:sz w:val="20"/>
              </w:rPr>
              <w:t xml:space="preserve">Департамент социальной защиты населения Владимирской области</w:t>
            </w:r>
          </w:p>
        </w:tc>
        <w:tc>
          <w:tcPr>
            <w:tcW w:w="1473" w:type="dxa"/>
          </w:tcPr>
          <w:p>
            <w:pPr>
              <w:pStyle w:val="0"/>
              <w:jc w:val="center"/>
            </w:pPr>
            <w:r>
              <w:rPr>
                <w:sz w:val="20"/>
              </w:rPr>
              <w:t xml:space="preserve">15238368,5</w:t>
            </w:r>
          </w:p>
        </w:tc>
        <w:tc>
          <w:tcPr>
            <w:tcW w:w="1473" w:type="dxa"/>
          </w:tcPr>
          <w:p>
            <w:pPr>
              <w:pStyle w:val="0"/>
              <w:jc w:val="center"/>
            </w:pPr>
            <w:r>
              <w:rPr>
                <w:sz w:val="20"/>
              </w:rPr>
              <w:t xml:space="preserve">15256047,6</w:t>
            </w:r>
          </w:p>
        </w:tc>
        <w:tc>
          <w:tcPr>
            <w:tcW w:w="1474" w:type="dxa"/>
          </w:tcPr>
          <w:p>
            <w:pPr>
              <w:pStyle w:val="0"/>
              <w:jc w:val="center"/>
            </w:pPr>
            <w:r>
              <w:rPr>
                <w:sz w:val="20"/>
              </w:rPr>
              <w:t xml:space="preserve">15256047,6</w:t>
            </w:r>
          </w:p>
        </w:tc>
      </w:tr>
      <w:tr>
        <w:tc>
          <w:tcPr>
            <w:tcW w:w="850" w:type="dxa"/>
          </w:tcPr>
          <w:p>
            <w:pPr>
              <w:pStyle w:val="0"/>
              <w:jc w:val="center"/>
            </w:pPr>
            <w:r>
              <w:rPr>
                <w:sz w:val="20"/>
              </w:rPr>
              <w:t xml:space="preserve">566</w:t>
            </w:r>
          </w:p>
        </w:tc>
        <w:tc>
          <w:tcPr>
            <w:tcW w:w="3798" w:type="dxa"/>
          </w:tcPr>
          <w:p>
            <w:pPr>
              <w:pStyle w:val="0"/>
            </w:pPr>
            <w:r>
              <w:rPr>
                <w:sz w:val="20"/>
              </w:rPr>
              <w:t xml:space="preserve">Департамент имущественных и земельных отношений Владимирской области</w:t>
            </w:r>
          </w:p>
        </w:tc>
        <w:tc>
          <w:tcPr>
            <w:tcW w:w="1473" w:type="dxa"/>
          </w:tcPr>
          <w:p>
            <w:pPr>
              <w:pStyle w:val="0"/>
              <w:jc w:val="center"/>
            </w:pPr>
            <w:r>
              <w:rPr>
                <w:sz w:val="20"/>
              </w:rPr>
              <w:t xml:space="preserve">311397,0</w:t>
            </w:r>
          </w:p>
        </w:tc>
        <w:tc>
          <w:tcPr>
            <w:tcW w:w="1473" w:type="dxa"/>
          </w:tcPr>
          <w:p>
            <w:pPr>
              <w:pStyle w:val="0"/>
              <w:jc w:val="center"/>
            </w:pPr>
            <w:r>
              <w:rPr>
                <w:sz w:val="20"/>
              </w:rPr>
              <w:t xml:space="preserve">311397,0</w:t>
            </w:r>
          </w:p>
        </w:tc>
        <w:tc>
          <w:tcPr>
            <w:tcW w:w="1474" w:type="dxa"/>
          </w:tcPr>
          <w:p>
            <w:pPr>
              <w:pStyle w:val="0"/>
              <w:jc w:val="center"/>
            </w:pPr>
            <w:r>
              <w:rPr>
                <w:sz w:val="20"/>
              </w:rPr>
              <w:t xml:space="preserve">311397,0</w:t>
            </w:r>
          </w:p>
        </w:tc>
      </w:tr>
      <w:tr>
        <w:tc>
          <w:tcPr>
            <w:tcW w:w="850" w:type="dxa"/>
          </w:tcPr>
          <w:p>
            <w:pPr>
              <w:pStyle w:val="0"/>
              <w:jc w:val="center"/>
            </w:pPr>
            <w:r>
              <w:rPr>
                <w:sz w:val="20"/>
              </w:rPr>
              <w:t xml:space="preserve">567</w:t>
            </w:r>
          </w:p>
        </w:tc>
        <w:tc>
          <w:tcPr>
            <w:tcW w:w="3798" w:type="dxa"/>
          </w:tcPr>
          <w:p>
            <w:pPr>
              <w:pStyle w:val="0"/>
            </w:pPr>
            <w:r>
              <w:rPr>
                <w:sz w:val="20"/>
              </w:rPr>
              <w:t xml:space="preserve">Департамент физической культуры и спорта Владимирской области</w:t>
            </w:r>
          </w:p>
        </w:tc>
        <w:tc>
          <w:tcPr>
            <w:tcW w:w="1473" w:type="dxa"/>
          </w:tcPr>
          <w:p>
            <w:pPr>
              <w:pStyle w:val="0"/>
              <w:jc w:val="center"/>
            </w:pPr>
            <w:r>
              <w:rPr>
                <w:sz w:val="20"/>
              </w:rPr>
              <w:t xml:space="preserve">1362407,1</w:t>
            </w:r>
          </w:p>
        </w:tc>
        <w:tc>
          <w:tcPr>
            <w:tcW w:w="1473" w:type="dxa"/>
          </w:tcPr>
          <w:p>
            <w:pPr>
              <w:pStyle w:val="0"/>
              <w:jc w:val="center"/>
            </w:pPr>
            <w:r>
              <w:rPr>
                <w:sz w:val="20"/>
              </w:rPr>
              <w:t xml:space="preserve">1074402,0</w:t>
            </w:r>
          </w:p>
        </w:tc>
        <w:tc>
          <w:tcPr>
            <w:tcW w:w="1474" w:type="dxa"/>
          </w:tcPr>
          <w:p>
            <w:pPr>
              <w:pStyle w:val="0"/>
              <w:jc w:val="center"/>
            </w:pPr>
            <w:r>
              <w:rPr>
                <w:sz w:val="20"/>
              </w:rPr>
              <w:t xml:space="preserve">1108334,7</w:t>
            </w:r>
          </w:p>
        </w:tc>
      </w:tr>
      <w:tr>
        <w:tc>
          <w:tcPr>
            <w:tcW w:w="850" w:type="dxa"/>
          </w:tcPr>
          <w:p>
            <w:pPr>
              <w:pStyle w:val="0"/>
              <w:jc w:val="center"/>
            </w:pPr>
            <w:r>
              <w:rPr>
                <w:sz w:val="20"/>
              </w:rPr>
              <w:t xml:space="preserve">571</w:t>
            </w:r>
          </w:p>
        </w:tc>
        <w:tc>
          <w:tcPr>
            <w:tcW w:w="3798" w:type="dxa"/>
          </w:tcPr>
          <w:p>
            <w:pPr>
              <w:pStyle w:val="0"/>
            </w:pPr>
            <w:r>
              <w:rPr>
                <w:sz w:val="20"/>
              </w:rPr>
              <w:t xml:space="preserve">Департамент цифрового развития Владимирской области</w:t>
            </w:r>
          </w:p>
        </w:tc>
        <w:tc>
          <w:tcPr>
            <w:tcW w:w="1473" w:type="dxa"/>
          </w:tcPr>
          <w:p>
            <w:pPr>
              <w:pStyle w:val="0"/>
              <w:jc w:val="center"/>
            </w:pPr>
            <w:r>
              <w:rPr>
                <w:sz w:val="20"/>
              </w:rPr>
              <w:t xml:space="preserve">64318,9</w:t>
            </w:r>
          </w:p>
        </w:tc>
        <w:tc>
          <w:tcPr>
            <w:tcW w:w="1473" w:type="dxa"/>
          </w:tcPr>
          <w:p>
            <w:pPr>
              <w:pStyle w:val="0"/>
              <w:jc w:val="center"/>
            </w:pPr>
            <w:r>
              <w:rPr>
                <w:sz w:val="20"/>
              </w:rPr>
              <w:t xml:space="preserve">63838,9</w:t>
            </w:r>
          </w:p>
        </w:tc>
        <w:tc>
          <w:tcPr>
            <w:tcW w:w="1474" w:type="dxa"/>
          </w:tcPr>
          <w:p>
            <w:pPr>
              <w:pStyle w:val="0"/>
              <w:jc w:val="center"/>
            </w:pPr>
            <w:r>
              <w:rPr>
                <w:sz w:val="20"/>
              </w:rPr>
              <w:t xml:space="preserve">63838,9</w:t>
            </w:r>
          </w:p>
        </w:tc>
      </w:tr>
      <w:tr>
        <w:tc>
          <w:tcPr>
            <w:tcW w:w="850" w:type="dxa"/>
          </w:tcPr>
          <w:p>
            <w:pPr>
              <w:pStyle w:val="0"/>
              <w:jc w:val="center"/>
            </w:pPr>
            <w:r>
              <w:rPr>
                <w:sz w:val="20"/>
              </w:rPr>
              <w:t xml:space="preserve">574</w:t>
            </w:r>
          </w:p>
        </w:tc>
        <w:tc>
          <w:tcPr>
            <w:tcW w:w="3798" w:type="dxa"/>
          </w:tcPr>
          <w:p>
            <w:pPr>
              <w:pStyle w:val="0"/>
            </w:pPr>
            <w:r>
              <w:rPr>
                <w:sz w:val="20"/>
              </w:rPr>
              <w:t xml:space="preserve">Департамент образования Владимирской области</w:t>
            </w:r>
          </w:p>
        </w:tc>
        <w:tc>
          <w:tcPr>
            <w:tcW w:w="1473" w:type="dxa"/>
          </w:tcPr>
          <w:p>
            <w:pPr>
              <w:pStyle w:val="0"/>
              <w:jc w:val="center"/>
            </w:pPr>
            <w:r>
              <w:rPr>
                <w:sz w:val="20"/>
              </w:rPr>
              <w:t xml:space="preserve">18082655,6</w:t>
            </w:r>
          </w:p>
        </w:tc>
        <w:tc>
          <w:tcPr>
            <w:tcW w:w="1473" w:type="dxa"/>
          </w:tcPr>
          <w:p>
            <w:pPr>
              <w:pStyle w:val="0"/>
              <w:jc w:val="center"/>
            </w:pPr>
            <w:r>
              <w:rPr>
                <w:sz w:val="20"/>
              </w:rPr>
              <w:t xml:space="preserve">17551909,9</w:t>
            </w:r>
          </w:p>
        </w:tc>
        <w:tc>
          <w:tcPr>
            <w:tcW w:w="1474" w:type="dxa"/>
          </w:tcPr>
          <w:p>
            <w:pPr>
              <w:pStyle w:val="0"/>
              <w:jc w:val="center"/>
            </w:pPr>
            <w:r>
              <w:rPr>
                <w:sz w:val="20"/>
              </w:rPr>
              <w:t xml:space="preserve">17501552,4</w:t>
            </w:r>
          </w:p>
        </w:tc>
      </w:tr>
      <w:tr>
        <w:tc>
          <w:tcPr>
            <w:tcW w:w="850" w:type="dxa"/>
          </w:tcPr>
          <w:p>
            <w:pPr>
              <w:pStyle w:val="0"/>
              <w:jc w:val="center"/>
            </w:pPr>
            <w:r>
              <w:rPr>
                <w:sz w:val="20"/>
              </w:rPr>
              <w:t xml:space="preserve">581</w:t>
            </w:r>
          </w:p>
        </w:tc>
        <w:tc>
          <w:tcPr>
            <w:tcW w:w="3798" w:type="dxa"/>
          </w:tcPr>
          <w:p>
            <w:pPr>
              <w:pStyle w:val="0"/>
            </w:pPr>
            <w:r>
              <w:rPr>
                <w:sz w:val="20"/>
              </w:rPr>
              <w:t xml:space="preserve">Государственная инспекция по охране и использованию животного мира администрации Владимирской области</w:t>
            </w:r>
          </w:p>
        </w:tc>
        <w:tc>
          <w:tcPr>
            <w:tcW w:w="1473" w:type="dxa"/>
          </w:tcPr>
          <w:p>
            <w:pPr>
              <w:pStyle w:val="0"/>
              <w:jc w:val="center"/>
            </w:pPr>
            <w:r>
              <w:rPr>
                <w:sz w:val="20"/>
              </w:rPr>
              <w:t xml:space="preserve">51486,7</w:t>
            </w:r>
          </w:p>
        </w:tc>
        <w:tc>
          <w:tcPr>
            <w:tcW w:w="1473" w:type="dxa"/>
          </w:tcPr>
          <w:p>
            <w:pPr>
              <w:pStyle w:val="0"/>
              <w:jc w:val="center"/>
            </w:pPr>
            <w:r>
              <w:rPr>
                <w:sz w:val="20"/>
              </w:rPr>
              <w:t xml:space="preserve">51446,1</w:t>
            </w:r>
          </w:p>
        </w:tc>
        <w:tc>
          <w:tcPr>
            <w:tcW w:w="1474" w:type="dxa"/>
          </w:tcPr>
          <w:p>
            <w:pPr>
              <w:pStyle w:val="0"/>
              <w:jc w:val="center"/>
            </w:pPr>
            <w:r>
              <w:rPr>
                <w:sz w:val="20"/>
              </w:rPr>
              <w:t xml:space="preserve">51446,1</w:t>
            </w:r>
          </w:p>
        </w:tc>
      </w:tr>
      <w:tr>
        <w:tc>
          <w:tcPr>
            <w:tcW w:w="850" w:type="dxa"/>
          </w:tcPr>
          <w:p>
            <w:pPr>
              <w:pStyle w:val="0"/>
              <w:jc w:val="center"/>
            </w:pPr>
            <w:r>
              <w:rPr>
                <w:sz w:val="20"/>
              </w:rPr>
              <w:t xml:space="preserve">582</w:t>
            </w:r>
          </w:p>
        </w:tc>
        <w:tc>
          <w:tcPr>
            <w:tcW w:w="3798" w:type="dxa"/>
          </w:tcPr>
          <w:p>
            <w:pPr>
              <w:pStyle w:val="0"/>
            </w:pPr>
            <w:r>
              <w:rPr>
                <w:sz w:val="20"/>
              </w:rPr>
              <w:t xml:space="preserve">Департамент сельского хозяйства Владимирской области</w:t>
            </w:r>
          </w:p>
        </w:tc>
        <w:tc>
          <w:tcPr>
            <w:tcW w:w="1473" w:type="dxa"/>
          </w:tcPr>
          <w:p>
            <w:pPr>
              <w:pStyle w:val="0"/>
              <w:jc w:val="center"/>
            </w:pPr>
            <w:r>
              <w:rPr>
                <w:sz w:val="20"/>
              </w:rPr>
              <w:t xml:space="preserve">1538827,7</w:t>
            </w:r>
          </w:p>
        </w:tc>
        <w:tc>
          <w:tcPr>
            <w:tcW w:w="1473" w:type="dxa"/>
          </w:tcPr>
          <w:p>
            <w:pPr>
              <w:pStyle w:val="0"/>
              <w:jc w:val="center"/>
            </w:pPr>
            <w:r>
              <w:rPr>
                <w:sz w:val="20"/>
              </w:rPr>
              <w:t xml:space="preserve">1443936,2</w:t>
            </w:r>
          </w:p>
        </w:tc>
        <w:tc>
          <w:tcPr>
            <w:tcW w:w="1474" w:type="dxa"/>
          </w:tcPr>
          <w:p>
            <w:pPr>
              <w:pStyle w:val="0"/>
              <w:jc w:val="center"/>
            </w:pPr>
            <w:r>
              <w:rPr>
                <w:sz w:val="20"/>
              </w:rPr>
              <w:t xml:space="preserve">1475210,8</w:t>
            </w:r>
          </w:p>
        </w:tc>
      </w:tr>
      <w:tr>
        <w:tc>
          <w:tcPr>
            <w:tcW w:w="850" w:type="dxa"/>
          </w:tcPr>
          <w:p>
            <w:pPr>
              <w:pStyle w:val="0"/>
              <w:jc w:val="center"/>
            </w:pPr>
            <w:r>
              <w:rPr>
                <w:sz w:val="20"/>
              </w:rPr>
              <w:t xml:space="preserve">583</w:t>
            </w:r>
          </w:p>
        </w:tc>
        <w:tc>
          <w:tcPr>
            <w:tcW w:w="3798" w:type="dxa"/>
          </w:tcPr>
          <w:p>
            <w:pPr>
              <w:pStyle w:val="0"/>
            </w:pPr>
            <w:r>
              <w:rPr>
                <w:sz w:val="20"/>
              </w:rPr>
              <w:t xml:space="preserve">Государственная инспекция по надзору за техническим состоянием самоходных машин и других видов техники администрации Владимирской области - инспекция гостехнадзора Владимирской области</w:t>
            </w:r>
          </w:p>
        </w:tc>
        <w:tc>
          <w:tcPr>
            <w:tcW w:w="1473" w:type="dxa"/>
          </w:tcPr>
          <w:p>
            <w:pPr>
              <w:pStyle w:val="0"/>
              <w:jc w:val="center"/>
            </w:pPr>
            <w:r>
              <w:rPr>
                <w:sz w:val="20"/>
              </w:rPr>
              <w:t xml:space="preserve">26957,2</w:t>
            </w:r>
          </w:p>
        </w:tc>
        <w:tc>
          <w:tcPr>
            <w:tcW w:w="1473" w:type="dxa"/>
          </w:tcPr>
          <w:p>
            <w:pPr>
              <w:pStyle w:val="0"/>
              <w:jc w:val="center"/>
            </w:pPr>
            <w:r>
              <w:rPr>
                <w:sz w:val="20"/>
              </w:rPr>
              <w:t xml:space="preserve">26957,2</w:t>
            </w:r>
          </w:p>
        </w:tc>
        <w:tc>
          <w:tcPr>
            <w:tcW w:w="1474" w:type="dxa"/>
          </w:tcPr>
          <w:p>
            <w:pPr>
              <w:pStyle w:val="0"/>
              <w:jc w:val="center"/>
            </w:pPr>
            <w:r>
              <w:rPr>
                <w:sz w:val="20"/>
              </w:rPr>
              <w:t xml:space="preserve">26957,2</w:t>
            </w:r>
          </w:p>
        </w:tc>
      </w:tr>
      <w:tr>
        <w:tc>
          <w:tcPr>
            <w:tcW w:w="850" w:type="dxa"/>
          </w:tcPr>
          <w:p>
            <w:pPr>
              <w:pStyle w:val="0"/>
              <w:jc w:val="center"/>
            </w:pPr>
            <w:r>
              <w:rPr>
                <w:sz w:val="20"/>
              </w:rPr>
              <w:t xml:space="preserve">584</w:t>
            </w:r>
          </w:p>
        </w:tc>
        <w:tc>
          <w:tcPr>
            <w:tcW w:w="3798" w:type="dxa"/>
          </w:tcPr>
          <w:p>
            <w:pPr>
              <w:pStyle w:val="0"/>
            </w:pPr>
            <w:r>
              <w:rPr>
                <w:sz w:val="20"/>
              </w:rPr>
              <w:t xml:space="preserve">Департамент ветеринарии Владимирской области</w:t>
            </w:r>
          </w:p>
        </w:tc>
        <w:tc>
          <w:tcPr>
            <w:tcW w:w="1473" w:type="dxa"/>
          </w:tcPr>
          <w:p>
            <w:pPr>
              <w:pStyle w:val="0"/>
              <w:jc w:val="center"/>
            </w:pPr>
            <w:r>
              <w:rPr>
                <w:sz w:val="20"/>
              </w:rPr>
              <w:t xml:space="preserve">200356,0</w:t>
            </w:r>
          </w:p>
        </w:tc>
        <w:tc>
          <w:tcPr>
            <w:tcW w:w="1473" w:type="dxa"/>
          </w:tcPr>
          <w:p>
            <w:pPr>
              <w:pStyle w:val="0"/>
              <w:jc w:val="center"/>
            </w:pPr>
            <w:r>
              <w:rPr>
                <w:sz w:val="20"/>
              </w:rPr>
              <w:t xml:space="preserve">203254,8</w:t>
            </w:r>
          </w:p>
        </w:tc>
        <w:tc>
          <w:tcPr>
            <w:tcW w:w="1474" w:type="dxa"/>
          </w:tcPr>
          <w:p>
            <w:pPr>
              <w:pStyle w:val="0"/>
              <w:jc w:val="center"/>
            </w:pPr>
            <w:r>
              <w:rPr>
                <w:sz w:val="20"/>
              </w:rPr>
              <w:t xml:space="preserve">203254,8</w:t>
            </w:r>
          </w:p>
        </w:tc>
      </w:tr>
      <w:tr>
        <w:tc>
          <w:tcPr>
            <w:tcW w:w="850" w:type="dxa"/>
          </w:tcPr>
          <w:p>
            <w:pPr>
              <w:pStyle w:val="0"/>
              <w:jc w:val="center"/>
            </w:pPr>
            <w:r>
              <w:rPr>
                <w:sz w:val="20"/>
              </w:rPr>
              <w:t xml:space="preserve">588</w:t>
            </w:r>
          </w:p>
        </w:tc>
        <w:tc>
          <w:tcPr>
            <w:tcW w:w="3798" w:type="dxa"/>
          </w:tcPr>
          <w:p>
            <w:pPr>
              <w:pStyle w:val="0"/>
            </w:pPr>
            <w:r>
              <w:rPr>
                <w:sz w:val="20"/>
              </w:rPr>
              <w:t xml:space="preserve">Департамент безопасности Владимирской области</w:t>
            </w:r>
          </w:p>
        </w:tc>
        <w:tc>
          <w:tcPr>
            <w:tcW w:w="1473" w:type="dxa"/>
          </w:tcPr>
          <w:p>
            <w:pPr>
              <w:pStyle w:val="0"/>
              <w:jc w:val="center"/>
            </w:pPr>
            <w:r>
              <w:rPr>
                <w:sz w:val="20"/>
              </w:rPr>
              <w:t xml:space="preserve">268074,6</w:t>
            </w:r>
          </w:p>
        </w:tc>
        <w:tc>
          <w:tcPr>
            <w:tcW w:w="1473" w:type="dxa"/>
          </w:tcPr>
          <w:p>
            <w:pPr>
              <w:pStyle w:val="0"/>
              <w:jc w:val="center"/>
            </w:pPr>
            <w:r>
              <w:rPr>
                <w:sz w:val="20"/>
              </w:rPr>
              <w:t xml:space="preserve">268099,3</w:t>
            </w:r>
          </w:p>
        </w:tc>
        <w:tc>
          <w:tcPr>
            <w:tcW w:w="1474" w:type="dxa"/>
          </w:tcPr>
          <w:p>
            <w:pPr>
              <w:pStyle w:val="0"/>
              <w:jc w:val="center"/>
            </w:pPr>
            <w:r>
              <w:rPr>
                <w:sz w:val="20"/>
              </w:rPr>
              <w:t xml:space="preserve">268099,3</w:t>
            </w:r>
          </w:p>
        </w:tc>
      </w:tr>
      <w:tr>
        <w:tc>
          <w:tcPr>
            <w:tcW w:w="850" w:type="dxa"/>
          </w:tcPr>
          <w:p>
            <w:pPr>
              <w:pStyle w:val="0"/>
              <w:jc w:val="center"/>
            </w:pPr>
            <w:r>
              <w:rPr>
                <w:sz w:val="20"/>
              </w:rPr>
              <w:t xml:space="preserve">591</w:t>
            </w:r>
          </w:p>
        </w:tc>
        <w:tc>
          <w:tcPr>
            <w:tcW w:w="3798" w:type="dxa"/>
          </w:tcPr>
          <w:p>
            <w:pPr>
              <w:pStyle w:val="0"/>
            </w:pPr>
            <w:r>
              <w:rPr>
                <w:sz w:val="20"/>
              </w:rPr>
              <w:t xml:space="preserve">Департамент молодежной политики и общественных проектов Владимирской области</w:t>
            </w:r>
          </w:p>
        </w:tc>
        <w:tc>
          <w:tcPr>
            <w:tcW w:w="1473" w:type="dxa"/>
          </w:tcPr>
          <w:p>
            <w:pPr>
              <w:pStyle w:val="0"/>
              <w:jc w:val="center"/>
            </w:pPr>
            <w:r>
              <w:rPr>
                <w:sz w:val="20"/>
              </w:rPr>
              <w:t xml:space="preserve">2474,7</w:t>
            </w:r>
          </w:p>
        </w:tc>
        <w:tc>
          <w:tcPr>
            <w:tcW w:w="1473" w:type="dxa"/>
          </w:tcPr>
          <w:p>
            <w:pPr>
              <w:pStyle w:val="0"/>
              <w:jc w:val="center"/>
            </w:pPr>
            <w:r>
              <w:rPr>
                <w:sz w:val="20"/>
              </w:rPr>
              <w:t xml:space="preserve">2474,7</w:t>
            </w:r>
          </w:p>
        </w:tc>
        <w:tc>
          <w:tcPr>
            <w:tcW w:w="1474" w:type="dxa"/>
          </w:tcPr>
          <w:p>
            <w:pPr>
              <w:pStyle w:val="0"/>
              <w:jc w:val="center"/>
            </w:pPr>
            <w:r>
              <w:rPr>
                <w:sz w:val="20"/>
              </w:rPr>
              <w:t xml:space="preserve">2474,7</w:t>
            </w:r>
          </w:p>
        </w:tc>
      </w:tr>
      <w:tr>
        <w:tc>
          <w:tcPr>
            <w:tcW w:w="850" w:type="dxa"/>
          </w:tcPr>
          <w:p>
            <w:pPr>
              <w:pStyle w:val="0"/>
              <w:jc w:val="center"/>
            </w:pPr>
            <w:r>
              <w:rPr>
                <w:sz w:val="20"/>
              </w:rPr>
              <w:t xml:space="preserve">592</w:t>
            </w:r>
          </w:p>
        </w:tc>
        <w:tc>
          <w:tcPr>
            <w:tcW w:w="3798" w:type="dxa"/>
          </w:tcPr>
          <w:p>
            <w:pPr>
              <w:pStyle w:val="0"/>
            </w:pPr>
            <w:r>
              <w:rPr>
                <w:sz w:val="20"/>
              </w:rPr>
              <w:t xml:space="preserve">Департамент финансов, бюджетной и налоговой политики администрации Владимирской области</w:t>
            </w:r>
          </w:p>
        </w:tc>
        <w:tc>
          <w:tcPr>
            <w:tcW w:w="1473" w:type="dxa"/>
          </w:tcPr>
          <w:p>
            <w:pPr>
              <w:pStyle w:val="0"/>
              <w:jc w:val="center"/>
            </w:pPr>
            <w:r>
              <w:rPr>
                <w:sz w:val="20"/>
              </w:rPr>
              <w:t xml:space="preserve">5474908,5</w:t>
            </w:r>
          </w:p>
        </w:tc>
        <w:tc>
          <w:tcPr>
            <w:tcW w:w="1473" w:type="dxa"/>
          </w:tcPr>
          <w:p>
            <w:pPr>
              <w:pStyle w:val="0"/>
              <w:jc w:val="center"/>
            </w:pPr>
            <w:r>
              <w:rPr>
                <w:sz w:val="20"/>
              </w:rPr>
              <w:t xml:space="preserve">3958571,9</w:t>
            </w:r>
          </w:p>
        </w:tc>
        <w:tc>
          <w:tcPr>
            <w:tcW w:w="1474" w:type="dxa"/>
          </w:tcPr>
          <w:p>
            <w:pPr>
              <w:pStyle w:val="0"/>
              <w:jc w:val="center"/>
            </w:pPr>
            <w:r>
              <w:rPr>
                <w:sz w:val="20"/>
              </w:rPr>
              <w:t xml:space="preserve">3964122,8</w:t>
            </w:r>
          </w:p>
        </w:tc>
      </w:tr>
      <w:tr>
        <w:tc>
          <w:tcPr>
            <w:tcW w:w="850" w:type="dxa"/>
          </w:tcPr>
          <w:p>
            <w:pPr>
              <w:pStyle w:val="0"/>
              <w:jc w:val="center"/>
            </w:pPr>
            <w:r>
              <w:rPr>
                <w:sz w:val="20"/>
              </w:rPr>
              <w:t xml:space="preserve">593</w:t>
            </w:r>
          </w:p>
        </w:tc>
        <w:tc>
          <w:tcPr>
            <w:tcW w:w="3798" w:type="dxa"/>
          </w:tcPr>
          <w:p>
            <w:pPr>
              <w:pStyle w:val="0"/>
            </w:pPr>
            <w:r>
              <w:rPr>
                <w:sz w:val="20"/>
              </w:rPr>
              <w:t xml:space="preserve">Контрольно-ревизионная инспекция Владимирской области</w:t>
            </w:r>
          </w:p>
        </w:tc>
        <w:tc>
          <w:tcPr>
            <w:tcW w:w="1473" w:type="dxa"/>
          </w:tcPr>
          <w:p>
            <w:pPr>
              <w:pStyle w:val="0"/>
              <w:jc w:val="center"/>
            </w:pPr>
            <w:r>
              <w:rPr>
                <w:sz w:val="20"/>
              </w:rPr>
              <w:t xml:space="preserve">17184,9</w:t>
            </w:r>
          </w:p>
        </w:tc>
        <w:tc>
          <w:tcPr>
            <w:tcW w:w="1473" w:type="dxa"/>
          </w:tcPr>
          <w:p>
            <w:pPr>
              <w:pStyle w:val="0"/>
              <w:jc w:val="center"/>
            </w:pPr>
            <w:r>
              <w:rPr>
                <w:sz w:val="20"/>
              </w:rPr>
              <w:t xml:space="preserve">17184,9</w:t>
            </w:r>
          </w:p>
        </w:tc>
        <w:tc>
          <w:tcPr>
            <w:tcW w:w="1474" w:type="dxa"/>
          </w:tcPr>
          <w:p>
            <w:pPr>
              <w:pStyle w:val="0"/>
              <w:jc w:val="center"/>
            </w:pPr>
            <w:r>
              <w:rPr>
                <w:sz w:val="20"/>
              </w:rPr>
              <w:t xml:space="preserve">17184,9</w:t>
            </w:r>
          </w:p>
        </w:tc>
      </w:tr>
      <w:tr>
        <w:tc>
          <w:tcPr>
            <w:tcW w:w="850" w:type="dxa"/>
          </w:tcPr>
          <w:p>
            <w:pPr>
              <w:pStyle w:val="0"/>
              <w:jc w:val="center"/>
            </w:pPr>
            <w:r>
              <w:rPr>
                <w:sz w:val="20"/>
              </w:rPr>
              <w:t xml:space="preserve">595</w:t>
            </w:r>
          </w:p>
        </w:tc>
        <w:tc>
          <w:tcPr>
            <w:tcW w:w="3798" w:type="dxa"/>
          </w:tcPr>
          <w:p>
            <w:pPr>
              <w:pStyle w:val="0"/>
            </w:pPr>
            <w:r>
              <w:rPr>
                <w:sz w:val="20"/>
              </w:rPr>
              <w:t xml:space="preserve">Уполномоченный по правам человека во Владимирской области и его аппарат</w:t>
            </w:r>
          </w:p>
        </w:tc>
        <w:tc>
          <w:tcPr>
            <w:tcW w:w="1473" w:type="dxa"/>
          </w:tcPr>
          <w:p>
            <w:pPr>
              <w:pStyle w:val="0"/>
              <w:jc w:val="center"/>
            </w:pPr>
            <w:r>
              <w:rPr>
                <w:sz w:val="20"/>
              </w:rPr>
              <w:t xml:space="preserve">10914,8</w:t>
            </w:r>
          </w:p>
        </w:tc>
        <w:tc>
          <w:tcPr>
            <w:tcW w:w="1473" w:type="dxa"/>
          </w:tcPr>
          <w:p>
            <w:pPr>
              <w:pStyle w:val="0"/>
              <w:jc w:val="center"/>
            </w:pPr>
            <w:r>
              <w:rPr>
                <w:sz w:val="20"/>
              </w:rPr>
              <w:t xml:space="preserve">10914,8</w:t>
            </w:r>
          </w:p>
        </w:tc>
        <w:tc>
          <w:tcPr>
            <w:tcW w:w="1474" w:type="dxa"/>
          </w:tcPr>
          <w:p>
            <w:pPr>
              <w:pStyle w:val="0"/>
              <w:jc w:val="center"/>
            </w:pPr>
            <w:r>
              <w:rPr>
                <w:sz w:val="20"/>
              </w:rPr>
              <w:t xml:space="preserve">10914,8</w:t>
            </w:r>
          </w:p>
        </w:tc>
      </w:tr>
      <w:tr>
        <w:tc>
          <w:tcPr>
            <w:tcW w:w="850" w:type="dxa"/>
          </w:tcPr>
          <w:p>
            <w:pPr>
              <w:pStyle w:val="0"/>
              <w:jc w:val="center"/>
            </w:pPr>
            <w:r>
              <w:rPr>
                <w:sz w:val="20"/>
              </w:rPr>
              <w:t xml:space="preserve">596</w:t>
            </w:r>
          </w:p>
        </w:tc>
        <w:tc>
          <w:tcPr>
            <w:tcW w:w="3798" w:type="dxa"/>
          </w:tcPr>
          <w:p>
            <w:pPr>
              <w:pStyle w:val="0"/>
            </w:pPr>
            <w:r>
              <w:rPr>
                <w:sz w:val="20"/>
              </w:rPr>
              <w:t xml:space="preserve">Уполномоченный по защите прав предпринимателей во Владимирской области и его аппарат</w:t>
            </w:r>
          </w:p>
        </w:tc>
        <w:tc>
          <w:tcPr>
            <w:tcW w:w="1473" w:type="dxa"/>
          </w:tcPr>
          <w:p>
            <w:pPr>
              <w:pStyle w:val="0"/>
              <w:jc w:val="center"/>
            </w:pPr>
            <w:r>
              <w:rPr>
                <w:sz w:val="20"/>
              </w:rPr>
              <w:t xml:space="preserve">3537,1</w:t>
            </w:r>
          </w:p>
        </w:tc>
        <w:tc>
          <w:tcPr>
            <w:tcW w:w="1473" w:type="dxa"/>
          </w:tcPr>
          <w:p>
            <w:pPr>
              <w:pStyle w:val="0"/>
              <w:jc w:val="center"/>
            </w:pPr>
            <w:r>
              <w:rPr>
                <w:sz w:val="20"/>
              </w:rPr>
              <w:t xml:space="preserve">3537,1</w:t>
            </w:r>
          </w:p>
        </w:tc>
        <w:tc>
          <w:tcPr>
            <w:tcW w:w="1474" w:type="dxa"/>
          </w:tcPr>
          <w:p>
            <w:pPr>
              <w:pStyle w:val="0"/>
              <w:jc w:val="center"/>
            </w:pPr>
            <w:r>
              <w:rPr>
                <w:sz w:val="20"/>
              </w:rPr>
              <w:t xml:space="preserve">3537,1</w:t>
            </w:r>
          </w:p>
        </w:tc>
      </w:tr>
      <w:tr>
        <w:tc>
          <w:tcPr>
            <w:tcW w:w="850" w:type="dxa"/>
          </w:tcPr>
          <w:p>
            <w:pPr>
              <w:pStyle w:val="0"/>
              <w:jc w:val="center"/>
            </w:pPr>
            <w:r>
              <w:rPr>
                <w:sz w:val="20"/>
              </w:rPr>
              <w:t xml:space="preserve">599</w:t>
            </w:r>
          </w:p>
        </w:tc>
        <w:tc>
          <w:tcPr>
            <w:tcW w:w="3798" w:type="dxa"/>
          </w:tcPr>
          <w:p>
            <w:pPr>
              <w:pStyle w:val="0"/>
            </w:pPr>
            <w:r>
              <w:rPr>
                <w:sz w:val="20"/>
              </w:rPr>
              <w:t xml:space="preserve">Государственная инспекция административно-технического надзора администрации Владимирской области</w:t>
            </w:r>
          </w:p>
        </w:tc>
        <w:tc>
          <w:tcPr>
            <w:tcW w:w="1473" w:type="dxa"/>
          </w:tcPr>
          <w:p>
            <w:pPr>
              <w:pStyle w:val="0"/>
              <w:jc w:val="center"/>
            </w:pPr>
            <w:r>
              <w:rPr>
                <w:sz w:val="20"/>
              </w:rPr>
              <w:t xml:space="preserve">45115,7</w:t>
            </w:r>
          </w:p>
        </w:tc>
        <w:tc>
          <w:tcPr>
            <w:tcW w:w="1473" w:type="dxa"/>
          </w:tcPr>
          <w:p>
            <w:pPr>
              <w:pStyle w:val="0"/>
              <w:jc w:val="center"/>
            </w:pPr>
            <w:r>
              <w:rPr>
                <w:sz w:val="20"/>
              </w:rPr>
              <w:t xml:space="preserve">45115,7</w:t>
            </w:r>
          </w:p>
        </w:tc>
        <w:tc>
          <w:tcPr>
            <w:tcW w:w="1474" w:type="dxa"/>
          </w:tcPr>
          <w:p>
            <w:pPr>
              <w:pStyle w:val="0"/>
              <w:jc w:val="center"/>
            </w:pPr>
            <w:r>
              <w:rPr>
                <w:sz w:val="20"/>
              </w:rPr>
              <w:t xml:space="preserve">45115,7</w:t>
            </w:r>
          </w:p>
        </w:tc>
      </w:tr>
      <w:tr>
        <w:tc>
          <w:tcPr>
            <w:tcW w:w="850" w:type="dxa"/>
          </w:tcPr>
          <w:p>
            <w:pPr>
              <w:pStyle w:val="0"/>
            </w:pPr>
            <w:r>
              <w:rPr>
                <w:sz w:val="20"/>
              </w:rPr>
            </w:r>
          </w:p>
        </w:tc>
        <w:tc>
          <w:tcPr>
            <w:tcW w:w="3798" w:type="dxa"/>
          </w:tcPr>
          <w:p>
            <w:pPr>
              <w:pStyle w:val="0"/>
            </w:pPr>
            <w:r>
              <w:rPr>
                <w:sz w:val="20"/>
              </w:rPr>
              <w:t xml:space="preserve">ИТОГО РАСХОДОВ</w:t>
            </w:r>
          </w:p>
        </w:tc>
        <w:tc>
          <w:tcPr>
            <w:tcW w:w="1473" w:type="dxa"/>
          </w:tcPr>
          <w:p>
            <w:pPr>
              <w:pStyle w:val="0"/>
              <w:jc w:val="center"/>
            </w:pPr>
            <w:r>
              <w:rPr>
                <w:sz w:val="20"/>
              </w:rPr>
              <w:t xml:space="preserve">72854560,3</w:t>
            </w:r>
          </w:p>
        </w:tc>
        <w:tc>
          <w:tcPr>
            <w:tcW w:w="1473" w:type="dxa"/>
          </w:tcPr>
          <w:p>
            <w:pPr>
              <w:pStyle w:val="0"/>
              <w:jc w:val="center"/>
            </w:pPr>
            <w:r>
              <w:rPr>
                <w:sz w:val="20"/>
              </w:rPr>
              <w:t xml:space="preserve">71416368,5</w:t>
            </w:r>
          </w:p>
        </w:tc>
        <w:tc>
          <w:tcPr>
            <w:tcW w:w="1474" w:type="dxa"/>
          </w:tcPr>
          <w:p>
            <w:pPr>
              <w:pStyle w:val="0"/>
              <w:jc w:val="center"/>
            </w:pPr>
            <w:r>
              <w:rPr>
                <w:sz w:val="20"/>
              </w:rPr>
              <w:t xml:space="preserve">70868155,4</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6</w:t>
      </w:r>
    </w:p>
    <w:p>
      <w:pPr>
        <w:pStyle w:val="0"/>
        <w:jc w:val="right"/>
      </w:pPr>
      <w:r>
        <w:rPr>
          <w:sz w:val="20"/>
        </w:rPr>
        <w:t xml:space="preserve">к распоряжению</w:t>
      </w:r>
    </w:p>
    <w:p>
      <w:pPr>
        <w:pStyle w:val="0"/>
        <w:jc w:val="right"/>
      </w:pPr>
      <w:r>
        <w:rPr>
          <w:sz w:val="20"/>
        </w:rPr>
        <w:t xml:space="preserve">администрации</w:t>
      </w:r>
    </w:p>
    <w:p>
      <w:pPr>
        <w:pStyle w:val="0"/>
        <w:jc w:val="right"/>
      </w:pPr>
      <w:r>
        <w:rPr>
          <w:sz w:val="20"/>
        </w:rPr>
        <w:t xml:space="preserve">Владимирской области</w:t>
      </w:r>
    </w:p>
    <w:p>
      <w:pPr>
        <w:pStyle w:val="0"/>
        <w:jc w:val="right"/>
      </w:pPr>
      <w:r>
        <w:rPr>
          <w:sz w:val="20"/>
        </w:rPr>
        <w:t xml:space="preserve">от 05.07.2021 N 512-р</w:t>
      </w:r>
    </w:p>
    <w:p>
      <w:pPr>
        <w:pStyle w:val="0"/>
        <w:jc w:val="both"/>
      </w:pPr>
      <w:r>
        <w:rPr>
          <w:sz w:val="20"/>
        </w:rPr>
      </w:r>
    </w:p>
    <w:bookmarkStart w:id="1011" w:name="P1011"/>
    <w:bookmarkEnd w:id="1011"/>
    <w:p>
      <w:pPr>
        <w:pStyle w:val="2"/>
        <w:jc w:val="center"/>
      </w:pPr>
      <w:r>
        <w:rPr>
          <w:sz w:val="20"/>
        </w:rPr>
        <w:t xml:space="preserve">РАСПРЕДЕЛЕНИЕ</w:t>
      </w:r>
    </w:p>
    <w:p>
      <w:pPr>
        <w:pStyle w:val="2"/>
        <w:jc w:val="center"/>
      </w:pPr>
      <w:r>
        <w:rPr>
          <w:sz w:val="20"/>
        </w:rPr>
        <w:t xml:space="preserve">БЮДЖЕТНЫХ АССИГНОВАНИЙ НА ИСПОЛНЕНИЕ ДЕЙСТВУЮЩИХ</w:t>
      </w:r>
    </w:p>
    <w:p>
      <w:pPr>
        <w:pStyle w:val="2"/>
        <w:jc w:val="center"/>
      </w:pPr>
      <w:r>
        <w:rPr>
          <w:sz w:val="20"/>
        </w:rPr>
        <w:t xml:space="preserve">ОБЯЗАТЕЛЬСТВ ВЛАДИМИРСКОЙ ОБЛАСТИ ПО РАЗДЕЛАМ КЛАССИФИКАЦИИ</w:t>
      </w:r>
    </w:p>
    <w:p>
      <w:pPr>
        <w:pStyle w:val="2"/>
        <w:jc w:val="center"/>
      </w:pPr>
      <w:r>
        <w:rPr>
          <w:sz w:val="20"/>
        </w:rPr>
        <w:t xml:space="preserve">РАСХОДОВ ОБЛАСТНОГО БЮДЖЕТА НА 2022 ГОД И НА ПЛАНОВЫЙ</w:t>
      </w:r>
    </w:p>
    <w:p>
      <w:pPr>
        <w:pStyle w:val="2"/>
        <w:jc w:val="center"/>
      </w:pPr>
      <w:r>
        <w:rPr>
          <w:sz w:val="20"/>
        </w:rPr>
        <w:t xml:space="preserve">ПЕРИОД 2023 И 2024 ГОДОВ</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850"/>
        <w:gridCol w:w="3798"/>
        <w:gridCol w:w="1473"/>
        <w:gridCol w:w="1473"/>
        <w:gridCol w:w="1474"/>
      </w:tblGrid>
      <w:tr>
        <w:tc>
          <w:tcPr>
            <w:tcW w:w="850" w:type="dxa"/>
            <w:vMerge w:val="restart"/>
          </w:tcPr>
          <w:p>
            <w:pPr>
              <w:pStyle w:val="0"/>
              <w:jc w:val="center"/>
            </w:pPr>
            <w:r>
              <w:rPr>
                <w:sz w:val="20"/>
              </w:rPr>
              <w:t xml:space="preserve">Код БК</w:t>
            </w:r>
          </w:p>
        </w:tc>
        <w:tc>
          <w:tcPr>
            <w:tcW w:w="3798" w:type="dxa"/>
            <w:vMerge w:val="restart"/>
          </w:tcPr>
          <w:p>
            <w:pPr>
              <w:pStyle w:val="0"/>
              <w:jc w:val="center"/>
            </w:pPr>
            <w:r>
              <w:rPr>
                <w:sz w:val="20"/>
              </w:rPr>
              <w:t xml:space="preserve">Наименование разделов классификации расходов бюджетов</w:t>
            </w:r>
          </w:p>
        </w:tc>
        <w:tc>
          <w:tcPr>
            <w:gridSpan w:val="3"/>
            <w:tcW w:w="4420" w:type="dxa"/>
          </w:tcPr>
          <w:p>
            <w:pPr>
              <w:pStyle w:val="0"/>
              <w:jc w:val="center"/>
            </w:pPr>
            <w:r>
              <w:rPr>
                <w:sz w:val="20"/>
              </w:rPr>
              <w:t xml:space="preserve">Предельные объемы в тыс. руб.</w:t>
            </w:r>
          </w:p>
        </w:tc>
      </w:tr>
      <w:tr>
        <w:tc>
          <w:tcPr>
            <w:vMerge w:val="continue"/>
          </w:tcPr>
          <w:p/>
        </w:tc>
        <w:tc>
          <w:tcPr>
            <w:vMerge w:val="continue"/>
          </w:tcPr>
          <w:p/>
        </w:tc>
        <w:tc>
          <w:tcPr>
            <w:tcW w:w="1473" w:type="dxa"/>
          </w:tcPr>
          <w:p>
            <w:pPr>
              <w:pStyle w:val="0"/>
              <w:jc w:val="center"/>
            </w:pPr>
            <w:r>
              <w:rPr>
                <w:sz w:val="20"/>
              </w:rPr>
              <w:t xml:space="preserve">2022 год</w:t>
            </w:r>
          </w:p>
        </w:tc>
        <w:tc>
          <w:tcPr>
            <w:tcW w:w="1473" w:type="dxa"/>
          </w:tcPr>
          <w:p>
            <w:pPr>
              <w:pStyle w:val="0"/>
              <w:jc w:val="center"/>
            </w:pPr>
            <w:r>
              <w:rPr>
                <w:sz w:val="20"/>
              </w:rPr>
              <w:t xml:space="preserve">2023 год</w:t>
            </w:r>
          </w:p>
        </w:tc>
        <w:tc>
          <w:tcPr>
            <w:tcW w:w="1474" w:type="dxa"/>
          </w:tcPr>
          <w:p>
            <w:pPr>
              <w:pStyle w:val="0"/>
              <w:jc w:val="center"/>
            </w:pPr>
            <w:r>
              <w:rPr>
                <w:sz w:val="20"/>
              </w:rPr>
              <w:t xml:space="preserve">2024 год</w:t>
            </w:r>
          </w:p>
        </w:tc>
      </w:tr>
      <w:tr>
        <w:tc>
          <w:tcPr>
            <w:tcW w:w="850" w:type="dxa"/>
          </w:tcPr>
          <w:p>
            <w:pPr>
              <w:pStyle w:val="0"/>
              <w:jc w:val="center"/>
            </w:pPr>
            <w:r>
              <w:rPr>
                <w:sz w:val="20"/>
              </w:rPr>
              <w:t xml:space="preserve">0100</w:t>
            </w:r>
          </w:p>
        </w:tc>
        <w:tc>
          <w:tcPr>
            <w:tcW w:w="3798" w:type="dxa"/>
          </w:tcPr>
          <w:p>
            <w:pPr>
              <w:pStyle w:val="0"/>
            </w:pPr>
            <w:r>
              <w:rPr>
                <w:sz w:val="20"/>
              </w:rPr>
              <w:t xml:space="preserve">Общегосударственные вопросы</w:t>
            </w:r>
          </w:p>
        </w:tc>
        <w:tc>
          <w:tcPr>
            <w:tcW w:w="1473" w:type="dxa"/>
          </w:tcPr>
          <w:p>
            <w:pPr>
              <w:pStyle w:val="0"/>
              <w:jc w:val="center"/>
            </w:pPr>
            <w:r>
              <w:rPr>
                <w:sz w:val="20"/>
              </w:rPr>
              <w:t xml:space="preserve">1682698,3</w:t>
            </w:r>
          </w:p>
        </w:tc>
        <w:tc>
          <w:tcPr>
            <w:tcW w:w="1473" w:type="dxa"/>
          </w:tcPr>
          <w:p>
            <w:pPr>
              <w:pStyle w:val="0"/>
              <w:jc w:val="center"/>
            </w:pPr>
            <w:r>
              <w:rPr>
                <w:sz w:val="20"/>
              </w:rPr>
              <w:t xml:space="preserve">1760957,8</w:t>
            </w:r>
          </w:p>
        </w:tc>
        <w:tc>
          <w:tcPr>
            <w:tcW w:w="1474" w:type="dxa"/>
          </w:tcPr>
          <w:p>
            <w:pPr>
              <w:pStyle w:val="0"/>
              <w:jc w:val="center"/>
            </w:pPr>
            <w:r>
              <w:rPr>
                <w:sz w:val="20"/>
              </w:rPr>
              <w:t xml:space="preserve">1574814,2</w:t>
            </w:r>
          </w:p>
        </w:tc>
      </w:tr>
      <w:tr>
        <w:tc>
          <w:tcPr>
            <w:tcW w:w="850" w:type="dxa"/>
          </w:tcPr>
          <w:p>
            <w:pPr>
              <w:pStyle w:val="0"/>
              <w:jc w:val="center"/>
            </w:pPr>
            <w:r>
              <w:rPr>
                <w:sz w:val="20"/>
              </w:rPr>
              <w:t xml:space="preserve">0200</w:t>
            </w:r>
          </w:p>
        </w:tc>
        <w:tc>
          <w:tcPr>
            <w:tcW w:w="3798" w:type="dxa"/>
          </w:tcPr>
          <w:p>
            <w:pPr>
              <w:pStyle w:val="0"/>
            </w:pPr>
            <w:r>
              <w:rPr>
                <w:sz w:val="20"/>
              </w:rPr>
              <w:t xml:space="preserve">Национальная оборона</w:t>
            </w:r>
          </w:p>
        </w:tc>
        <w:tc>
          <w:tcPr>
            <w:tcW w:w="1473" w:type="dxa"/>
          </w:tcPr>
          <w:p>
            <w:pPr>
              <w:pStyle w:val="0"/>
              <w:jc w:val="center"/>
            </w:pPr>
            <w:r>
              <w:rPr>
                <w:sz w:val="20"/>
              </w:rPr>
              <w:t xml:space="preserve">23151,3</w:t>
            </w:r>
          </w:p>
        </w:tc>
        <w:tc>
          <w:tcPr>
            <w:tcW w:w="1473" w:type="dxa"/>
          </w:tcPr>
          <w:p>
            <w:pPr>
              <w:pStyle w:val="0"/>
              <w:jc w:val="center"/>
            </w:pPr>
            <w:r>
              <w:rPr>
                <w:sz w:val="20"/>
              </w:rPr>
              <w:t xml:space="preserve">23999,9</w:t>
            </w:r>
          </w:p>
        </w:tc>
        <w:tc>
          <w:tcPr>
            <w:tcW w:w="1474" w:type="dxa"/>
          </w:tcPr>
          <w:p>
            <w:pPr>
              <w:pStyle w:val="0"/>
              <w:jc w:val="center"/>
            </w:pPr>
            <w:r>
              <w:rPr>
                <w:sz w:val="20"/>
              </w:rPr>
              <w:t xml:space="preserve">23999,9</w:t>
            </w:r>
          </w:p>
        </w:tc>
      </w:tr>
      <w:tr>
        <w:tc>
          <w:tcPr>
            <w:tcW w:w="850" w:type="dxa"/>
          </w:tcPr>
          <w:p>
            <w:pPr>
              <w:pStyle w:val="0"/>
              <w:jc w:val="center"/>
            </w:pPr>
            <w:r>
              <w:rPr>
                <w:sz w:val="20"/>
              </w:rPr>
              <w:t xml:space="preserve">0300</w:t>
            </w:r>
          </w:p>
        </w:tc>
        <w:tc>
          <w:tcPr>
            <w:tcW w:w="3798" w:type="dxa"/>
          </w:tcPr>
          <w:p>
            <w:pPr>
              <w:pStyle w:val="0"/>
            </w:pPr>
            <w:r>
              <w:rPr>
                <w:sz w:val="20"/>
              </w:rPr>
              <w:t xml:space="preserve">Национальная безопасность и правоохранительная деятельность</w:t>
            </w:r>
          </w:p>
        </w:tc>
        <w:tc>
          <w:tcPr>
            <w:tcW w:w="1473" w:type="dxa"/>
          </w:tcPr>
          <w:p>
            <w:pPr>
              <w:pStyle w:val="0"/>
              <w:jc w:val="center"/>
            </w:pPr>
            <w:r>
              <w:rPr>
                <w:sz w:val="20"/>
              </w:rPr>
              <w:t xml:space="preserve">313472,5</w:t>
            </w:r>
          </w:p>
        </w:tc>
        <w:tc>
          <w:tcPr>
            <w:tcW w:w="1473" w:type="dxa"/>
          </w:tcPr>
          <w:p>
            <w:pPr>
              <w:pStyle w:val="0"/>
              <w:jc w:val="center"/>
            </w:pPr>
            <w:r>
              <w:rPr>
                <w:sz w:val="20"/>
              </w:rPr>
              <w:t xml:space="preserve">310116,6</w:t>
            </w:r>
          </w:p>
        </w:tc>
        <w:tc>
          <w:tcPr>
            <w:tcW w:w="1474" w:type="dxa"/>
          </w:tcPr>
          <w:p>
            <w:pPr>
              <w:pStyle w:val="0"/>
              <w:jc w:val="center"/>
            </w:pPr>
            <w:r>
              <w:rPr>
                <w:sz w:val="20"/>
              </w:rPr>
              <w:t xml:space="preserve">310116,6</w:t>
            </w:r>
          </w:p>
        </w:tc>
      </w:tr>
      <w:tr>
        <w:tc>
          <w:tcPr>
            <w:tcW w:w="850" w:type="dxa"/>
          </w:tcPr>
          <w:p>
            <w:pPr>
              <w:pStyle w:val="0"/>
              <w:jc w:val="center"/>
            </w:pPr>
            <w:r>
              <w:rPr>
                <w:sz w:val="20"/>
              </w:rPr>
              <w:t xml:space="preserve">0400</w:t>
            </w:r>
          </w:p>
        </w:tc>
        <w:tc>
          <w:tcPr>
            <w:tcW w:w="3798" w:type="dxa"/>
          </w:tcPr>
          <w:p>
            <w:pPr>
              <w:pStyle w:val="0"/>
            </w:pPr>
            <w:r>
              <w:rPr>
                <w:sz w:val="20"/>
              </w:rPr>
              <w:t xml:space="preserve">Национальная экономика</w:t>
            </w:r>
          </w:p>
        </w:tc>
        <w:tc>
          <w:tcPr>
            <w:tcW w:w="1473" w:type="dxa"/>
          </w:tcPr>
          <w:p>
            <w:pPr>
              <w:pStyle w:val="0"/>
              <w:jc w:val="center"/>
            </w:pPr>
            <w:r>
              <w:rPr>
                <w:sz w:val="20"/>
              </w:rPr>
              <w:t xml:space="preserve">11209135,7</w:t>
            </w:r>
          </w:p>
        </w:tc>
        <w:tc>
          <w:tcPr>
            <w:tcW w:w="1473" w:type="dxa"/>
          </w:tcPr>
          <w:p>
            <w:pPr>
              <w:pStyle w:val="0"/>
              <w:jc w:val="center"/>
            </w:pPr>
            <w:r>
              <w:rPr>
                <w:sz w:val="20"/>
              </w:rPr>
              <w:t xml:space="preserve">11619394,1</w:t>
            </w:r>
          </w:p>
        </w:tc>
        <w:tc>
          <w:tcPr>
            <w:tcW w:w="1474" w:type="dxa"/>
          </w:tcPr>
          <w:p>
            <w:pPr>
              <w:pStyle w:val="0"/>
              <w:jc w:val="center"/>
            </w:pPr>
            <w:r>
              <w:rPr>
                <w:sz w:val="20"/>
              </w:rPr>
              <w:t xml:space="preserve">11630677,3</w:t>
            </w:r>
          </w:p>
        </w:tc>
      </w:tr>
      <w:tr>
        <w:tc>
          <w:tcPr>
            <w:tcW w:w="850" w:type="dxa"/>
          </w:tcPr>
          <w:p>
            <w:pPr>
              <w:pStyle w:val="0"/>
              <w:jc w:val="center"/>
            </w:pPr>
            <w:r>
              <w:rPr>
                <w:sz w:val="20"/>
              </w:rPr>
              <w:t xml:space="preserve">0500</w:t>
            </w:r>
          </w:p>
        </w:tc>
        <w:tc>
          <w:tcPr>
            <w:tcW w:w="3798" w:type="dxa"/>
          </w:tcPr>
          <w:p>
            <w:pPr>
              <w:pStyle w:val="0"/>
            </w:pPr>
            <w:r>
              <w:rPr>
                <w:sz w:val="20"/>
              </w:rPr>
              <w:t xml:space="preserve">Жилищно-коммунальное хозяйство</w:t>
            </w:r>
          </w:p>
        </w:tc>
        <w:tc>
          <w:tcPr>
            <w:tcW w:w="1473" w:type="dxa"/>
          </w:tcPr>
          <w:p>
            <w:pPr>
              <w:pStyle w:val="0"/>
              <w:jc w:val="center"/>
            </w:pPr>
            <w:r>
              <w:rPr>
                <w:sz w:val="20"/>
              </w:rPr>
              <w:t xml:space="preserve">2675894,2</w:t>
            </w:r>
          </w:p>
        </w:tc>
        <w:tc>
          <w:tcPr>
            <w:tcW w:w="1473" w:type="dxa"/>
          </w:tcPr>
          <w:p>
            <w:pPr>
              <w:pStyle w:val="0"/>
              <w:jc w:val="center"/>
            </w:pPr>
            <w:r>
              <w:rPr>
                <w:sz w:val="20"/>
              </w:rPr>
              <w:t xml:space="preserve">3379137,9</w:t>
            </w:r>
          </w:p>
        </w:tc>
        <w:tc>
          <w:tcPr>
            <w:tcW w:w="1474" w:type="dxa"/>
          </w:tcPr>
          <w:p>
            <w:pPr>
              <w:pStyle w:val="0"/>
              <w:jc w:val="center"/>
            </w:pPr>
            <w:r>
              <w:rPr>
                <w:sz w:val="20"/>
              </w:rPr>
              <w:t xml:space="preserve">3289004,3</w:t>
            </w:r>
          </w:p>
        </w:tc>
      </w:tr>
      <w:tr>
        <w:tc>
          <w:tcPr>
            <w:tcW w:w="850" w:type="dxa"/>
          </w:tcPr>
          <w:p>
            <w:pPr>
              <w:pStyle w:val="0"/>
              <w:jc w:val="center"/>
            </w:pPr>
            <w:r>
              <w:rPr>
                <w:sz w:val="20"/>
              </w:rPr>
              <w:t xml:space="preserve">0600</w:t>
            </w:r>
          </w:p>
        </w:tc>
        <w:tc>
          <w:tcPr>
            <w:tcW w:w="3798" w:type="dxa"/>
          </w:tcPr>
          <w:p>
            <w:pPr>
              <w:pStyle w:val="0"/>
            </w:pPr>
            <w:r>
              <w:rPr>
                <w:sz w:val="20"/>
              </w:rPr>
              <w:t xml:space="preserve">Охрана окружающей среды</w:t>
            </w:r>
          </w:p>
        </w:tc>
        <w:tc>
          <w:tcPr>
            <w:tcW w:w="1473" w:type="dxa"/>
          </w:tcPr>
          <w:p>
            <w:pPr>
              <w:pStyle w:val="0"/>
              <w:jc w:val="center"/>
            </w:pPr>
            <w:r>
              <w:rPr>
                <w:sz w:val="20"/>
              </w:rPr>
              <w:t xml:space="preserve">139513,1</w:t>
            </w:r>
          </w:p>
        </w:tc>
        <w:tc>
          <w:tcPr>
            <w:tcW w:w="1473" w:type="dxa"/>
          </w:tcPr>
          <w:p>
            <w:pPr>
              <w:pStyle w:val="0"/>
              <w:jc w:val="center"/>
            </w:pPr>
            <w:r>
              <w:rPr>
                <w:sz w:val="20"/>
              </w:rPr>
              <w:t xml:space="preserve">136267,5</w:t>
            </w:r>
          </w:p>
        </w:tc>
        <w:tc>
          <w:tcPr>
            <w:tcW w:w="1474" w:type="dxa"/>
          </w:tcPr>
          <w:p>
            <w:pPr>
              <w:pStyle w:val="0"/>
              <w:jc w:val="center"/>
            </w:pPr>
            <w:r>
              <w:rPr>
                <w:sz w:val="20"/>
              </w:rPr>
              <w:t xml:space="preserve">136267,5</w:t>
            </w:r>
          </w:p>
        </w:tc>
      </w:tr>
      <w:tr>
        <w:tc>
          <w:tcPr>
            <w:tcW w:w="850" w:type="dxa"/>
          </w:tcPr>
          <w:p>
            <w:pPr>
              <w:pStyle w:val="0"/>
              <w:jc w:val="center"/>
            </w:pPr>
            <w:r>
              <w:rPr>
                <w:sz w:val="20"/>
              </w:rPr>
              <w:t xml:space="preserve">0700</w:t>
            </w:r>
          </w:p>
        </w:tc>
        <w:tc>
          <w:tcPr>
            <w:tcW w:w="3798" w:type="dxa"/>
          </w:tcPr>
          <w:p>
            <w:pPr>
              <w:pStyle w:val="0"/>
            </w:pPr>
            <w:r>
              <w:rPr>
                <w:sz w:val="20"/>
              </w:rPr>
              <w:t xml:space="preserve">Образование</w:t>
            </w:r>
          </w:p>
        </w:tc>
        <w:tc>
          <w:tcPr>
            <w:tcW w:w="1473" w:type="dxa"/>
          </w:tcPr>
          <w:p>
            <w:pPr>
              <w:pStyle w:val="0"/>
              <w:jc w:val="center"/>
            </w:pPr>
            <w:r>
              <w:rPr>
                <w:sz w:val="20"/>
              </w:rPr>
              <w:t xml:space="preserve">17265553,7</w:t>
            </w:r>
          </w:p>
        </w:tc>
        <w:tc>
          <w:tcPr>
            <w:tcW w:w="1473" w:type="dxa"/>
          </w:tcPr>
          <w:p>
            <w:pPr>
              <w:pStyle w:val="0"/>
              <w:jc w:val="center"/>
            </w:pPr>
            <w:r>
              <w:rPr>
                <w:sz w:val="20"/>
              </w:rPr>
              <w:t xml:space="preserve">16768045,1</w:t>
            </w:r>
          </w:p>
        </w:tc>
        <w:tc>
          <w:tcPr>
            <w:tcW w:w="1474" w:type="dxa"/>
          </w:tcPr>
          <w:p>
            <w:pPr>
              <w:pStyle w:val="0"/>
              <w:jc w:val="center"/>
            </w:pPr>
            <w:r>
              <w:rPr>
                <w:sz w:val="20"/>
              </w:rPr>
              <w:t xml:space="preserve">16711953,4</w:t>
            </w:r>
          </w:p>
        </w:tc>
      </w:tr>
      <w:tr>
        <w:tc>
          <w:tcPr>
            <w:tcW w:w="850" w:type="dxa"/>
          </w:tcPr>
          <w:p>
            <w:pPr>
              <w:pStyle w:val="0"/>
              <w:jc w:val="center"/>
            </w:pPr>
            <w:r>
              <w:rPr>
                <w:sz w:val="20"/>
              </w:rPr>
              <w:t xml:space="preserve">0800</w:t>
            </w:r>
          </w:p>
        </w:tc>
        <w:tc>
          <w:tcPr>
            <w:tcW w:w="3798" w:type="dxa"/>
          </w:tcPr>
          <w:p>
            <w:pPr>
              <w:pStyle w:val="0"/>
            </w:pPr>
            <w:r>
              <w:rPr>
                <w:sz w:val="20"/>
              </w:rPr>
              <w:t xml:space="preserve">Культура, кинематография</w:t>
            </w:r>
          </w:p>
        </w:tc>
        <w:tc>
          <w:tcPr>
            <w:tcW w:w="1473" w:type="dxa"/>
          </w:tcPr>
          <w:p>
            <w:pPr>
              <w:pStyle w:val="0"/>
              <w:jc w:val="center"/>
            </w:pPr>
            <w:r>
              <w:rPr>
                <w:sz w:val="20"/>
              </w:rPr>
              <w:t xml:space="preserve">1563811,1</w:t>
            </w:r>
          </w:p>
        </w:tc>
        <w:tc>
          <w:tcPr>
            <w:tcW w:w="1473" w:type="dxa"/>
          </w:tcPr>
          <w:p>
            <w:pPr>
              <w:pStyle w:val="0"/>
              <w:jc w:val="center"/>
            </w:pPr>
            <w:r>
              <w:rPr>
                <w:sz w:val="20"/>
              </w:rPr>
              <w:t xml:space="preserve">1575311,9</w:t>
            </w:r>
          </w:p>
        </w:tc>
        <w:tc>
          <w:tcPr>
            <w:tcW w:w="1474" w:type="dxa"/>
          </w:tcPr>
          <w:p>
            <w:pPr>
              <w:pStyle w:val="0"/>
              <w:jc w:val="center"/>
            </w:pPr>
            <w:r>
              <w:rPr>
                <w:sz w:val="20"/>
              </w:rPr>
              <w:t xml:space="preserve">1575311,9</w:t>
            </w:r>
          </w:p>
        </w:tc>
      </w:tr>
      <w:tr>
        <w:tc>
          <w:tcPr>
            <w:tcW w:w="850" w:type="dxa"/>
          </w:tcPr>
          <w:p>
            <w:pPr>
              <w:pStyle w:val="0"/>
              <w:jc w:val="center"/>
            </w:pPr>
            <w:r>
              <w:rPr>
                <w:sz w:val="20"/>
              </w:rPr>
              <w:t xml:space="preserve">0900</w:t>
            </w:r>
          </w:p>
        </w:tc>
        <w:tc>
          <w:tcPr>
            <w:tcW w:w="3798" w:type="dxa"/>
          </w:tcPr>
          <w:p>
            <w:pPr>
              <w:pStyle w:val="0"/>
            </w:pPr>
            <w:r>
              <w:rPr>
                <w:sz w:val="20"/>
              </w:rPr>
              <w:t xml:space="preserve">Здравоохранение</w:t>
            </w:r>
          </w:p>
        </w:tc>
        <w:tc>
          <w:tcPr>
            <w:tcW w:w="1473" w:type="dxa"/>
          </w:tcPr>
          <w:p>
            <w:pPr>
              <w:pStyle w:val="0"/>
              <w:jc w:val="center"/>
            </w:pPr>
            <w:r>
              <w:rPr>
                <w:sz w:val="20"/>
              </w:rPr>
              <w:t xml:space="preserve">8087132,0</w:t>
            </w:r>
          </w:p>
        </w:tc>
        <w:tc>
          <w:tcPr>
            <w:tcW w:w="1473" w:type="dxa"/>
          </w:tcPr>
          <w:p>
            <w:pPr>
              <w:pStyle w:val="0"/>
              <w:jc w:val="center"/>
            </w:pPr>
            <w:r>
              <w:rPr>
                <w:sz w:val="20"/>
              </w:rPr>
              <w:t xml:space="preserve">7766567,5</w:t>
            </w:r>
          </w:p>
        </w:tc>
        <w:tc>
          <w:tcPr>
            <w:tcW w:w="1474" w:type="dxa"/>
          </w:tcPr>
          <w:p>
            <w:pPr>
              <w:pStyle w:val="0"/>
              <w:jc w:val="center"/>
            </w:pPr>
            <w:r>
              <w:rPr>
                <w:sz w:val="20"/>
              </w:rPr>
              <w:t xml:space="preserve">7598694,3</w:t>
            </w:r>
          </w:p>
        </w:tc>
      </w:tr>
      <w:tr>
        <w:tc>
          <w:tcPr>
            <w:tcW w:w="850" w:type="dxa"/>
          </w:tcPr>
          <w:p>
            <w:pPr>
              <w:pStyle w:val="0"/>
              <w:jc w:val="center"/>
            </w:pPr>
            <w:r>
              <w:rPr>
                <w:sz w:val="20"/>
              </w:rPr>
              <w:t xml:space="preserve">1000</w:t>
            </w:r>
          </w:p>
        </w:tc>
        <w:tc>
          <w:tcPr>
            <w:tcW w:w="3798" w:type="dxa"/>
          </w:tcPr>
          <w:p>
            <w:pPr>
              <w:pStyle w:val="0"/>
            </w:pPr>
            <w:r>
              <w:rPr>
                <w:sz w:val="20"/>
              </w:rPr>
              <w:t xml:space="preserve">Социальная политика</w:t>
            </w:r>
          </w:p>
        </w:tc>
        <w:tc>
          <w:tcPr>
            <w:tcW w:w="1473" w:type="dxa"/>
          </w:tcPr>
          <w:p>
            <w:pPr>
              <w:pStyle w:val="0"/>
              <w:jc w:val="center"/>
            </w:pPr>
            <w:r>
              <w:rPr>
                <w:sz w:val="20"/>
              </w:rPr>
              <w:t xml:space="preserve">23418037,7</w:t>
            </w:r>
          </w:p>
        </w:tc>
        <w:tc>
          <w:tcPr>
            <w:tcW w:w="1473" w:type="dxa"/>
          </w:tcPr>
          <w:p>
            <w:pPr>
              <w:pStyle w:val="0"/>
              <w:jc w:val="center"/>
            </w:pPr>
            <w:r>
              <w:rPr>
                <w:sz w:val="20"/>
              </w:rPr>
              <w:t xml:space="preserve">23469663,0</w:t>
            </w:r>
          </w:p>
        </w:tc>
        <w:tc>
          <w:tcPr>
            <w:tcW w:w="1474" w:type="dxa"/>
          </w:tcPr>
          <w:p>
            <w:pPr>
              <w:pStyle w:val="0"/>
              <w:jc w:val="center"/>
            </w:pPr>
            <w:r>
              <w:rPr>
                <w:sz w:val="20"/>
              </w:rPr>
              <w:t xml:space="preserve">23370925,2</w:t>
            </w:r>
          </w:p>
        </w:tc>
      </w:tr>
      <w:tr>
        <w:tc>
          <w:tcPr>
            <w:tcW w:w="850" w:type="dxa"/>
          </w:tcPr>
          <w:p>
            <w:pPr>
              <w:pStyle w:val="0"/>
            </w:pPr>
            <w:r>
              <w:rPr>
                <w:sz w:val="20"/>
              </w:rPr>
            </w:r>
          </w:p>
        </w:tc>
        <w:tc>
          <w:tcPr>
            <w:tcW w:w="3798" w:type="dxa"/>
          </w:tcPr>
          <w:p>
            <w:pPr>
              <w:pStyle w:val="0"/>
            </w:pPr>
            <w:r>
              <w:rPr>
                <w:sz w:val="20"/>
              </w:rPr>
              <w:t xml:space="preserve">из них страховые взносы за неработающее население</w:t>
            </w:r>
          </w:p>
        </w:tc>
        <w:tc>
          <w:tcPr>
            <w:tcW w:w="1473" w:type="dxa"/>
          </w:tcPr>
          <w:p>
            <w:pPr>
              <w:pStyle w:val="0"/>
              <w:jc w:val="center"/>
            </w:pPr>
            <w:r>
              <w:rPr>
                <w:sz w:val="20"/>
              </w:rPr>
              <w:t xml:space="preserve">5283180,9</w:t>
            </w:r>
          </w:p>
        </w:tc>
        <w:tc>
          <w:tcPr>
            <w:tcW w:w="1473" w:type="dxa"/>
          </w:tcPr>
          <w:p>
            <w:pPr>
              <w:pStyle w:val="0"/>
              <w:jc w:val="center"/>
            </w:pPr>
            <w:r>
              <w:rPr>
                <w:sz w:val="20"/>
              </w:rPr>
              <w:t xml:space="preserve">5283180,9</w:t>
            </w:r>
          </w:p>
        </w:tc>
        <w:tc>
          <w:tcPr>
            <w:tcW w:w="1474" w:type="dxa"/>
          </w:tcPr>
          <w:p>
            <w:pPr>
              <w:pStyle w:val="0"/>
              <w:jc w:val="center"/>
            </w:pPr>
            <w:r>
              <w:rPr>
                <w:sz w:val="20"/>
              </w:rPr>
              <w:t xml:space="preserve">5283180,9</w:t>
            </w:r>
          </w:p>
        </w:tc>
      </w:tr>
      <w:tr>
        <w:tc>
          <w:tcPr>
            <w:tcW w:w="850" w:type="dxa"/>
          </w:tcPr>
          <w:p>
            <w:pPr>
              <w:pStyle w:val="0"/>
              <w:jc w:val="center"/>
            </w:pPr>
            <w:r>
              <w:rPr>
                <w:sz w:val="20"/>
              </w:rPr>
              <w:t xml:space="preserve">1100</w:t>
            </w:r>
          </w:p>
        </w:tc>
        <w:tc>
          <w:tcPr>
            <w:tcW w:w="3798" w:type="dxa"/>
          </w:tcPr>
          <w:p>
            <w:pPr>
              <w:pStyle w:val="0"/>
            </w:pPr>
            <w:r>
              <w:rPr>
                <w:sz w:val="20"/>
              </w:rPr>
              <w:t xml:space="preserve">Физическая культура и спорт</w:t>
            </w:r>
          </w:p>
        </w:tc>
        <w:tc>
          <w:tcPr>
            <w:tcW w:w="1473" w:type="dxa"/>
          </w:tcPr>
          <w:p>
            <w:pPr>
              <w:pStyle w:val="0"/>
              <w:jc w:val="center"/>
            </w:pPr>
            <w:r>
              <w:rPr>
                <w:sz w:val="20"/>
              </w:rPr>
              <w:t xml:space="preserve">1466864,2</w:t>
            </w:r>
          </w:p>
        </w:tc>
        <w:tc>
          <w:tcPr>
            <w:tcW w:w="1473" w:type="dxa"/>
          </w:tcPr>
          <w:p>
            <w:pPr>
              <w:pStyle w:val="0"/>
              <w:jc w:val="center"/>
            </w:pPr>
            <w:r>
              <w:rPr>
                <w:sz w:val="20"/>
              </w:rPr>
              <w:t xml:space="preserve">1073792,7</w:t>
            </w:r>
          </w:p>
        </w:tc>
        <w:tc>
          <w:tcPr>
            <w:tcW w:w="1474" w:type="dxa"/>
          </w:tcPr>
          <w:p>
            <w:pPr>
              <w:pStyle w:val="0"/>
              <w:jc w:val="center"/>
            </w:pPr>
            <w:r>
              <w:rPr>
                <w:sz w:val="20"/>
              </w:rPr>
              <w:t xml:space="preserve">1107725,4</w:t>
            </w:r>
          </w:p>
        </w:tc>
      </w:tr>
      <w:tr>
        <w:tc>
          <w:tcPr>
            <w:tcW w:w="850" w:type="dxa"/>
          </w:tcPr>
          <w:p>
            <w:pPr>
              <w:pStyle w:val="0"/>
              <w:jc w:val="center"/>
            </w:pPr>
            <w:r>
              <w:rPr>
                <w:sz w:val="20"/>
              </w:rPr>
              <w:t xml:space="preserve">1200</w:t>
            </w:r>
          </w:p>
        </w:tc>
        <w:tc>
          <w:tcPr>
            <w:tcW w:w="3798" w:type="dxa"/>
          </w:tcPr>
          <w:p>
            <w:pPr>
              <w:pStyle w:val="0"/>
            </w:pPr>
            <w:r>
              <w:rPr>
                <w:sz w:val="20"/>
              </w:rPr>
              <w:t xml:space="preserve">Средства массовой информации</w:t>
            </w:r>
          </w:p>
        </w:tc>
        <w:tc>
          <w:tcPr>
            <w:tcW w:w="1473" w:type="dxa"/>
          </w:tcPr>
          <w:p>
            <w:pPr>
              <w:pStyle w:val="0"/>
              <w:jc w:val="center"/>
            </w:pPr>
            <w:r>
              <w:rPr>
                <w:sz w:val="20"/>
              </w:rPr>
              <w:t xml:space="preserve">24042,5</w:t>
            </w:r>
          </w:p>
        </w:tc>
        <w:tc>
          <w:tcPr>
            <w:tcW w:w="1473" w:type="dxa"/>
          </w:tcPr>
          <w:p>
            <w:pPr>
              <w:pStyle w:val="0"/>
              <w:jc w:val="center"/>
            </w:pPr>
            <w:r>
              <w:rPr>
                <w:sz w:val="20"/>
              </w:rPr>
              <w:t xml:space="preserve">24042,5</w:t>
            </w:r>
          </w:p>
        </w:tc>
        <w:tc>
          <w:tcPr>
            <w:tcW w:w="1474" w:type="dxa"/>
          </w:tcPr>
          <w:p>
            <w:pPr>
              <w:pStyle w:val="0"/>
              <w:jc w:val="center"/>
            </w:pPr>
            <w:r>
              <w:rPr>
                <w:sz w:val="20"/>
              </w:rPr>
              <w:t xml:space="preserve">24042,5</w:t>
            </w:r>
          </w:p>
        </w:tc>
      </w:tr>
      <w:tr>
        <w:tc>
          <w:tcPr>
            <w:tcW w:w="850" w:type="dxa"/>
          </w:tcPr>
          <w:p>
            <w:pPr>
              <w:pStyle w:val="0"/>
              <w:jc w:val="center"/>
            </w:pPr>
            <w:r>
              <w:rPr>
                <w:sz w:val="20"/>
              </w:rPr>
              <w:t xml:space="preserve">1300</w:t>
            </w:r>
          </w:p>
        </w:tc>
        <w:tc>
          <w:tcPr>
            <w:tcW w:w="3798" w:type="dxa"/>
          </w:tcPr>
          <w:p>
            <w:pPr>
              <w:pStyle w:val="0"/>
            </w:pPr>
            <w:r>
              <w:rPr>
                <w:sz w:val="20"/>
              </w:rPr>
              <w:t xml:space="preserve">Обслуживание государственного и муниципального долга</w:t>
            </w:r>
          </w:p>
        </w:tc>
        <w:tc>
          <w:tcPr>
            <w:tcW w:w="1473" w:type="dxa"/>
          </w:tcPr>
          <w:p>
            <w:pPr>
              <w:pStyle w:val="0"/>
              <w:jc w:val="center"/>
            </w:pPr>
            <w:r>
              <w:rPr>
                <w:sz w:val="20"/>
              </w:rPr>
              <w:t xml:space="preserve">171489,9</w:t>
            </w:r>
          </w:p>
        </w:tc>
        <w:tc>
          <w:tcPr>
            <w:tcW w:w="1473" w:type="dxa"/>
          </w:tcPr>
          <w:p>
            <w:pPr>
              <w:pStyle w:val="0"/>
              <w:jc w:val="center"/>
            </w:pPr>
            <w:r>
              <w:rPr>
                <w:sz w:val="20"/>
              </w:rPr>
              <w:t xml:space="preserve">142281,6</w:t>
            </w:r>
          </w:p>
        </w:tc>
        <w:tc>
          <w:tcPr>
            <w:tcW w:w="1474" w:type="dxa"/>
          </w:tcPr>
          <w:p>
            <w:pPr>
              <w:pStyle w:val="0"/>
              <w:jc w:val="center"/>
            </w:pPr>
            <w:r>
              <w:rPr>
                <w:sz w:val="20"/>
              </w:rPr>
              <w:t xml:space="preserve">147832,5</w:t>
            </w:r>
          </w:p>
        </w:tc>
      </w:tr>
      <w:tr>
        <w:tc>
          <w:tcPr>
            <w:tcW w:w="850" w:type="dxa"/>
          </w:tcPr>
          <w:p>
            <w:pPr>
              <w:pStyle w:val="0"/>
              <w:jc w:val="center"/>
            </w:pPr>
            <w:r>
              <w:rPr>
                <w:sz w:val="20"/>
              </w:rPr>
              <w:t xml:space="preserve">1400</w:t>
            </w:r>
          </w:p>
        </w:tc>
        <w:tc>
          <w:tcPr>
            <w:tcW w:w="3798" w:type="dxa"/>
          </w:tcPr>
          <w:p>
            <w:pPr>
              <w:pStyle w:val="0"/>
            </w:pPr>
            <w:r>
              <w:rPr>
                <w:sz w:val="20"/>
              </w:rPr>
              <w:t xml:space="preserve">Межбюджетные трансферты общего характера бюджетам бюджетной системы Российской Федерации</w:t>
            </w:r>
          </w:p>
        </w:tc>
        <w:tc>
          <w:tcPr>
            <w:tcW w:w="1473" w:type="dxa"/>
          </w:tcPr>
          <w:p>
            <w:pPr>
              <w:pStyle w:val="0"/>
              <w:jc w:val="center"/>
            </w:pPr>
            <w:r>
              <w:rPr>
                <w:sz w:val="20"/>
              </w:rPr>
              <w:t xml:space="preserve">4813764,1</w:t>
            </w:r>
          </w:p>
        </w:tc>
        <w:tc>
          <w:tcPr>
            <w:tcW w:w="1473" w:type="dxa"/>
          </w:tcPr>
          <w:p>
            <w:pPr>
              <w:pStyle w:val="0"/>
              <w:jc w:val="center"/>
            </w:pPr>
            <w:r>
              <w:rPr>
                <w:sz w:val="20"/>
              </w:rPr>
              <w:t xml:space="preserve">3366790,4</w:t>
            </w:r>
          </w:p>
        </w:tc>
        <w:tc>
          <w:tcPr>
            <w:tcW w:w="1474" w:type="dxa"/>
          </w:tcPr>
          <w:p>
            <w:pPr>
              <w:pStyle w:val="0"/>
              <w:jc w:val="center"/>
            </w:pPr>
            <w:r>
              <w:rPr>
                <w:sz w:val="20"/>
              </w:rPr>
              <w:t xml:space="preserve">3366790,4</w:t>
            </w:r>
          </w:p>
        </w:tc>
      </w:tr>
      <w:tr>
        <w:tc>
          <w:tcPr>
            <w:tcW w:w="850" w:type="dxa"/>
          </w:tcPr>
          <w:p>
            <w:pPr>
              <w:pStyle w:val="0"/>
            </w:pPr>
            <w:r>
              <w:rPr>
                <w:sz w:val="20"/>
              </w:rPr>
            </w:r>
          </w:p>
        </w:tc>
        <w:tc>
          <w:tcPr>
            <w:tcW w:w="3798" w:type="dxa"/>
          </w:tcPr>
          <w:p>
            <w:pPr>
              <w:pStyle w:val="0"/>
            </w:pPr>
            <w:r>
              <w:rPr>
                <w:sz w:val="20"/>
              </w:rPr>
              <w:t xml:space="preserve">ИТОГО РАСХОДОВ</w:t>
            </w:r>
          </w:p>
        </w:tc>
        <w:tc>
          <w:tcPr>
            <w:tcW w:w="1473" w:type="dxa"/>
          </w:tcPr>
          <w:p>
            <w:pPr>
              <w:pStyle w:val="0"/>
              <w:jc w:val="center"/>
            </w:pPr>
            <w:r>
              <w:rPr>
                <w:sz w:val="20"/>
              </w:rPr>
              <w:t xml:space="preserve">72854560,3</w:t>
            </w:r>
          </w:p>
        </w:tc>
        <w:tc>
          <w:tcPr>
            <w:tcW w:w="1473" w:type="dxa"/>
          </w:tcPr>
          <w:p>
            <w:pPr>
              <w:pStyle w:val="0"/>
              <w:jc w:val="center"/>
            </w:pPr>
            <w:r>
              <w:rPr>
                <w:sz w:val="20"/>
              </w:rPr>
              <w:t xml:space="preserve">71416368,5</w:t>
            </w:r>
          </w:p>
        </w:tc>
        <w:tc>
          <w:tcPr>
            <w:tcW w:w="1474" w:type="dxa"/>
          </w:tcPr>
          <w:p>
            <w:pPr>
              <w:pStyle w:val="0"/>
              <w:jc w:val="center"/>
            </w:pPr>
            <w:r>
              <w:rPr>
                <w:sz w:val="20"/>
              </w:rPr>
              <w:t xml:space="preserve">70868155,4</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7</w:t>
      </w:r>
    </w:p>
    <w:p>
      <w:pPr>
        <w:pStyle w:val="0"/>
        <w:jc w:val="right"/>
      </w:pPr>
      <w:r>
        <w:rPr>
          <w:sz w:val="20"/>
        </w:rPr>
        <w:t xml:space="preserve">к распоряжению</w:t>
      </w:r>
    </w:p>
    <w:p>
      <w:pPr>
        <w:pStyle w:val="0"/>
        <w:jc w:val="right"/>
      </w:pPr>
      <w:r>
        <w:rPr>
          <w:sz w:val="20"/>
        </w:rPr>
        <w:t xml:space="preserve">администрации</w:t>
      </w:r>
    </w:p>
    <w:p>
      <w:pPr>
        <w:pStyle w:val="0"/>
        <w:jc w:val="right"/>
      </w:pPr>
      <w:r>
        <w:rPr>
          <w:sz w:val="20"/>
        </w:rPr>
        <w:t xml:space="preserve">Владимирской области</w:t>
      </w:r>
    </w:p>
    <w:p>
      <w:pPr>
        <w:pStyle w:val="0"/>
        <w:jc w:val="right"/>
      </w:pPr>
      <w:r>
        <w:rPr>
          <w:sz w:val="20"/>
        </w:rPr>
        <w:t xml:space="preserve">от 05.07.2021 N 512-р</w:t>
      </w:r>
    </w:p>
    <w:p>
      <w:pPr>
        <w:pStyle w:val="0"/>
        <w:jc w:val="both"/>
      </w:pPr>
      <w:r>
        <w:rPr>
          <w:sz w:val="20"/>
        </w:rPr>
      </w:r>
    </w:p>
    <w:bookmarkStart w:id="1114" w:name="P1114"/>
    <w:bookmarkEnd w:id="1114"/>
    <w:p>
      <w:pPr>
        <w:pStyle w:val="2"/>
        <w:jc w:val="center"/>
      </w:pPr>
      <w:r>
        <w:rPr>
          <w:sz w:val="20"/>
        </w:rPr>
        <w:t xml:space="preserve">РАСПРЕДЕЛЕНИЕ</w:t>
      </w:r>
    </w:p>
    <w:p>
      <w:pPr>
        <w:pStyle w:val="2"/>
        <w:jc w:val="center"/>
      </w:pPr>
      <w:r>
        <w:rPr>
          <w:sz w:val="20"/>
        </w:rPr>
        <w:t xml:space="preserve">БЮДЖЕТНЫХ АССИГНОВАНИЙ НА ИСПОЛНЕНИЕ ВНОВЬ ПРИНИМАЕМЫХ</w:t>
      </w:r>
    </w:p>
    <w:p>
      <w:pPr>
        <w:pStyle w:val="2"/>
        <w:jc w:val="center"/>
      </w:pPr>
      <w:r>
        <w:rPr>
          <w:sz w:val="20"/>
        </w:rPr>
        <w:t xml:space="preserve">ОБЯЗАТЕЛЬСТВ ВЛАДИМИРСКОЙ ОБЛАСТИ НА 2022 ГОД</w:t>
      </w:r>
    </w:p>
    <w:p>
      <w:pPr>
        <w:pStyle w:val="2"/>
        <w:jc w:val="center"/>
      </w:pPr>
      <w:r>
        <w:rPr>
          <w:sz w:val="20"/>
        </w:rPr>
        <w:t xml:space="preserve">И НА ПЛАНОВЫЙ ПЕРИОД 2023 И 2024 ГОДОВ</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4082"/>
        <w:gridCol w:w="1473"/>
        <w:gridCol w:w="1473"/>
        <w:gridCol w:w="1474"/>
      </w:tblGrid>
      <w:tr>
        <w:tc>
          <w:tcPr>
            <w:tcW w:w="567" w:type="dxa"/>
            <w:vMerge w:val="restart"/>
          </w:tcPr>
          <w:p>
            <w:pPr>
              <w:pStyle w:val="0"/>
              <w:jc w:val="center"/>
            </w:pPr>
            <w:r>
              <w:rPr>
                <w:sz w:val="20"/>
              </w:rPr>
              <w:t xml:space="preserve">N</w:t>
            </w:r>
          </w:p>
          <w:p>
            <w:pPr>
              <w:pStyle w:val="0"/>
              <w:jc w:val="center"/>
            </w:pPr>
            <w:r>
              <w:rPr>
                <w:sz w:val="20"/>
              </w:rPr>
              <w:t xml:space="preserve">п/п</w:t>
            </w:r>
          </w:p>
        </w:tc>
        <w:tc>
          <w:tcPr>
            <w:tcW w:w="4082" w:type="dxa"/>
            <w:vMerge w:val="restart"/>
          </w:tcPr>
          <w:p>
            <w:pPr>
              <w:pStyle w:val="0"/>
              <w:jc w:val="center"/>
            </w:pPr>
            <w:r>
              <w:rPr>
                <w:sz w:val="20"/>
              </w:rPr>
              <w:t xml:space="preserve">Направление расходов</w:t>
            </w:r>
          </w:p>
        </w:tc>
        <w:tc>
          <w:tcPr>
            <w:gridSpan w:val="3"/>
            <w:tcW w:w="4420" w:type="dxa"/>
          </w:tcPr>
          <w:p>
            <w:pPr>
              <w:pStyle w:val="0"/>
              <w:jc w:val="center"/>
            </w:pPr>
            <w:r>
              <w:rPr>
                <w:sz w:val="20"/>
              </w:rPr>
              <w:t xml:space="preserve">Предельные объемы в тыс. рублей</w:t>
            </w:r>
          </w:p>
        </w:tc>
      </w:tr>
      <w:tr>
        <w:tc>
          <w:tcPr>
            <w:vMerge w:val="continue"/>
          </w:tcPr>
          <w:p/>
        </w:tc>
        <w:tc>
          <w:tcPr>
            <w:vMerge w:val="continue"/>
          </w:tcPr>
          <w:p/>
        </w:tc>
        <w:tc>
          <w:tcPr>
            <w:tcW w:w="1473" w:type="dxa"/>
          </w:tcPr>
          <w:p>
            <w:pPr>
              <w:pStyle w:val="0"/>
              <w:jc w:val="center"/>
            </w:pPr>
            <w:r>
              <w:rPr>
                <w:sz w:val="20"/>
              </w:rPr>
              <w:t xml:space="preserve">2022 год</w:t>
            </w:r>
          </w:p>
        </w:tc>
        <w:tc>
          <w:tcPr>
            <w:tcW w:w="1473" w:type="dxa"/>
          </w:tcPr>
          <w:p>
            <w:pPr>
              <w:pStyle w:val="0"/>
              <w:jc w:val="center"/>
            </w:pPr>
            <w:r>
              <w:rPr>
                <w:sz w:val="20"/>
              </w:rPr>
              <w:t xml:space="preserve">2023 год</w:t>
            </w:r>
          </w:p>
        </w:tc>
        <w:tc>
          <w:tcPr>
            <w:tcW w:w="1474" w:type="dxa"/>
          </w:tcPr>
          <w:p>
            <w:pPr>
              <w:pStyle w:val="0"/>
              <w:jc w:val="center"/>
            </w:pPr>
            <w:r>
              <w:rPr>
                <w:sz w:val="20"/>
              </w:rPr>
              <w:t xml:space="preserve">2024 год</w:t>
            </w:r>
          </w:p>
        </w:tc>
      </w:tr>
      <w:tr>
        <w:tc>
          <w:tcPr>
            <w:tcW w:w="567" w:type="dxa"/>
            <w:vMerge w:val="restart"/>
          </w:tcPr>
          <w:p>
            <w:pPr>
              <w:pStyle w:val="0"/>
              <w:jc w:val="center"/>
            </w:pPr>
            <w:r>
              <w:rPr>
                <w:sz w:val="20"/>
              </w:rPr>
              <w:t xml:space="preserve">1.</w:t>
            </w:r>
          </w:p>
        </w:tc>
        <w:tc>
          <w:tcPr>
            <w:tcW w:w="4082" w:type="dxa"/>
          </w:tcPr>
          <w:p>
            <w:pPr>
              <w:pStyle w:val="0"/>
            </w:pPr>
            <w:r>
              <w:rPr>
                <w:sz w:val="20"/>
              </w:rPr>
              <w:t xml:space="preserve">Индексация ФОТ - всего</w:t>
            </w:r>
          </w:p>
        </w:tc>
        <w:tc>
          <w:tcPr>
            <w:tcW w:w="1473" w:type="dxa"/>
          </w:tcPr>
          <w:p>
            <w:pPr>
              <w:pStyle w:val="0"/>
              <w:jc w:val="center"/>
            </w:pPr>
            <w:r>
              <w:rPr>
                <w:sz w:val="20"/>
              </w:rPr>
              <w:t xml:space="preserve">1623703,6</w:t>
            </w:r>
          </w:p>
        </w:tc>
        <w:tc>
          <w:tcPr>
            <w:tcW w:w="1473" w:type="dxa"/>
          </w:tcPr>
          <w:p>
            <w:pPr>
              <w:pStyle w:val="0"/>
              <w:jc w:val="center"/>
            </w:pPr>
            <w:r>
              <w:rPr>
                <w:sz w:val="20"/>
              </w:rPr>
              <w:t xml:space="preserve">1623703,6</w:t>
            </w:r>
          </w:p>
        </w:tc>
        <w:tc>
          <w:tcPr>
            <w:tcW w:w="1474" w:type="dxa"/>
          </w:tcPr>
          <w:p>
            <w:pPr>
              <w:pStyle w:val="0"/>
              <w:jc w:val="center"/>
            </w:pPr>
            <w:r>
              <w:rPr>
                <w:sz w:val="20"/>
              </w:rPr>
              <w:t xml:space="preserve">1623703,6</w:t>
            </w:r>
          </w:p>
        </w:tc>
      </w:tr>
      <w:tr>
        <w:tc>
          <w:tcPr>
            <w:vMerge w:val="continue"/>
          </w:tcPr>
          <w:p/>
        </w:tc>
        <w:tc>
          <w:tcPr>
            <w:tcW w:w="4082" w:type="dxa"/>
          </w:tcPr>
          <w:p>
            <w:pPr>
              <w:pStyle w:val="0"/>
            </w:pPr>
            <w:r>
              <w:rPr>
                <w:sz w:val="20"/>
              </w:rPr>
              <w:t xml:space="preserve">в том числе:</w:t>
            </w:r>
          </w:p>
        </w:tc>
        <w:tc>
          <w:tcPr>
            <w:tcW w:w="1473" w:type="dxa"/>
          </w:tcPr>
          <w:p>
            <w:pPr>
              <w:pStyle w:val="0"/>
            </w:pPr>
            <w:r>
              <w:rPr>
                <w:sz w:val="20"/>
              </w:rPr>
            </w:r>
          </w:p>
        </w:tc>
        <w:tc>
          <w:tcPr>
            <w:tcW w:w="1473" w:type="dxa"/>
          </w:tcPr>
          <w:p>
            <w:pPr>
              <w:pStyle w:val="0"/>
            </w:pPr>
            <w:r>
              <w:rPr>
                <w:sz w:val="20"/>
              </w:rPr>
            </w:r>
          </w:p>
        </w:tc>
        <w:tc>
          <w:tcPr>
            <w:tcW w:w="1474" w:type="dxa"/>
          </w:tcPr>
          <w:p>
            <w:pPr>
              <w:pStyle w:val="0"/>
            </w:pPr>
            <w:r>
              <w:rPr>
                <w:sz w:val="20"/>
              </w:rPr>
            </w:r>
          </w:p>
        </w:tc>
      </w:tr>
      <w:tr>
        <w:tc>
          <w:tcPr>
            <w:vMerge w:val="continue"/>
          </w:tcPr>
          <w:p/>
        </w:tc>
        <w:tc>
          <w:tcPr>
            <w:tcW w:w="4082" w:type="dxa"/>
          </w:tcPr>
          <w:p>
            <w:pPr>
              <w:pStyle w:val="0"/>
            </w:pPr>
            <w:r>
              <w:rPr>
                <w:sz w:val="20"/>
              </w:rPr>
              <w:t xml:space="preserve">работников бюджетной сферы, подпадающих под действие указов Президента РФ (5,6%)</w:t>
            </w:r>
          </w:p>
        </w:tc>
        <w:tc>
          <w:tcPr>
            <w:tcW w:w="1473" w:type="dxa"/>
          </w:tcPr>
          <w:p>
            <w:pPr>
              <w:pStyle w:val="0"/>
              <w:jc w:val="center"/>
            </w:pPr>
            <w:r>
              <w:rPr>
                <w:sz w:val="20"/>
              </w:rPr>
              <w:t xml:space="preserve">1306789,4</w:t>
            </w:r>
          </w:p>
        </w:tc>
        <w:tc>
          <w:tcPr>
            <w:tcW w:w="1473" w:type="dxa"/>
          </w:tcPr>
          <w:p>
            <w:pPr>
              <w:pStyle w:val="0"/>
              <w:jc w:val="center"/>
            </w:pPr>
            <w:r>
              <w:rPr>
                <w:sz w:val="20"/>
              </w:rPr>
              <w:t xml:space="preserve">1306789,4</w:t>
            </w:r>
          </w:p>
        </w:tc>
        <w:tc>
          <w:tcPr>
            <w:tcW w:w="1474" w:type="dxa"/>
          </w:tcPr>
          <w:p>
            <w:pPr>
              <w:pStyle w:val="0"/>
              <w:jc w:val="center"/>
            </w:pPr>
            <w:r>
              <w:rPr>
                <w:sz w:val="20"/>
              </w:rPr>
              <w:t xml:space="preserve">1306789,4</w:t>
            </w:r>
          </w:p>
        </w:tc>
      </w:tr>
      <w:tr>
        <w:tc>
          <w:tcPr>
            <w:vMerge w:val="continue"/>
          </w:tcPr>
          <w:p/>
        </w:tc>
        <w:tc>
          <w:tcPr>
            <w:tcW w:w="4082" w:type="dxa"/>
          </w:tcPr>
          <w:p>
            <w:pPr>
              <w:pStyle w:val="0"/>
            </w:pPr>
            <w:r>
              <w:rPr>
                <w:sz w:val="20"/>
              </w:rPr>
              <w:t xml:space="preserve">работников бюджетной сферы, не подпадающих под действие указов (4%)</w:t>
            </w:r>
          </w:p>
        </w:tc>
        <w:tc>
          <w:tcPr>
            <w:tcW w:w="1473" w:type="dxa"/>
          </w:tcPr>
          <w:p>
            <w:pPr>
              <w:pStyle w:val="0"/>
              <w:jc w:val="center"/>
            </w:pPr>
            <w:r>
              <w:rPr>
                <w:sz w:val="20"/>
              </w:rPr>
              <w:t xml:space="preserve">316914,2</w:t>
            </w:r>
          </w:p>
        </w:tc>
        <w:tc>
          <w:tcPr>
            <w:tcW w:w="1473" w:type="dxa"/>
          </w:tcPr>
          <w:p>
            <w:pPr>
              <w:pStyle w:val="0"/>
              <w:jc w:val="center"/>
            </w:pPr>
            <w:r>
              <w:rPr>
                <w:sz w:val="20"/>
              </w:rPr>
              <w:t xml:space="preserve">316914,2</w:t>
            </w:r>
          </w:p>
        </w:tc>
        <w:tc>
          <w:tcPr>
            <w:tcW w:w="1474" w:type="dxa"/>
          </w:tcPr>
          <w:p>
            <w:pPr>
              <w:pStyle w:val="0"/>
              <w:jc w:val="center"/>
            </w:pPr>
            <w:r>
              <w:rPr>
                <w:sz w:val="20"/>
              </w:rPr>
              <w:t xml:space="preserve">316914,2</w:t>
            </w:r>
          </w:p>
        </w:tc>
      </w:tr>
      <w:tr>
        <w:tc>
          <w:tcPr>
            <w:tcW w:w="567" w:type="dxa"/>
          </w:tcPr>
          <w:p>
            <w:pPr>
              <w:pStyle w:val="0"/>
              <w:jc w:val="center"/>
            </w:pPr>
            <w:r>
              <w:rPr>
                <w:sz w:val="20"/>
              </w:rPr>
              <w:t xml:space="preserve">2.</w:t>
            </w:r>
          </w:p>
        </w:tc>
        <w:tc>
          <w:tcPr>
            <w:tcW w:w="4082" w:type="dxa"/>
          </w:tcPr>
          <w:p>
            <w:pPr>
              <w:pStyle w:val="0"/>
            </w:pPr>
            <w:r>
              <w:rPr>
                <w:sz w:val="20"/>
              </w:rPr>
              <w:t xml:space="preserve">Индексация социальных выплат на 4%</w:t>
            </w:r>
          </w:p>
        </w:tc>
        <w:tc>
          <w:tcPr>
            <w:tcW w:w="1473" w:type="dxa"/>
          </w:tcPr>
          <w:p>
            <w:pPr>
              <w:pStyle w:val="0"/>
              <w:jc w:val="center"/>
            </w:pPr>
            <w:r>
              <w:rPr>
                <w:sz w:val="20"/>
              </w:rPr>
              <w:t xml:space="preserve">319439,0</w:t>
            </w:r>
          </w:p>
        </w:tc>
        <w:tc>
          <w:tcPr>
            <w:tcW w:w="1473" w:type="dxa"/>
          </w:tcPr>
          <w:p>
            <w:pPr>
              <w:pStyle w:val="0"/>
              <w:jc w:val="center"/>
            </w:pPr>
            <w:r>
              <w:rPr>
                <w:sz w:val="20"/>
              </w:rPr>
              <w:t xml:space="preserve">318488,5</w:t>
            </w:r>
          </w:p>
        </w:tc>
        <w:tc>
          <w:tcPr>
            <w:tcW w:w="1474" w:type="dxa"/>
          </w:tcPr>
          <w:p>
            <w:pPr>
              <w:pStyle w:val="0"/>
              <w:jc w:val="center"/>
            </w:pPr>
            <w:r>
              <w:rPr>
                <w:sz w:val="20"/>
              </w:rPr>
              <w:t xml:space="preserve">318488,5</w:t>
            </w:r>
          </w:p>
        </w:tc>
      </w:tr>
      <w:tr>
        <w:tc>
          <w:tcPr>
            <w:tcW w:w="567" w:type="dxa"/>
          </w:tcPr>
          <w:p>
            <w:pPr>
              <w:pStyle w:val="0"/>
              <w:jc w:val="center"/>
            </w:pPr>
            <w:r>
              <w:rPr>
                <w:sz w:val="20"/>
              </w:rPr>
              <w:t xml:space="preserve">3.</w:t>
            </w:r>
          </w:p>
        </w:tc>
        <w:tc>
          <w:tcPr>
            <w:tcW w:w="4082" w:type="dxa"/>
          </w:tcPr>
          <w:p>
            <w:pPr>
              <w:pStyle w:val="0"/>
            </w:pPr>
            <w:r>
              <w:rPr>
                <w:sz w:val="20"/>
              </w:rPr>
              <w:t xml:space="preserve">Индексация расходов на приобретение лекарственных препаратов для отдельных категорий (на 4%)</w:t>
            </w:r>
          </w:p>
        </w:tc>
        <w:tc>
          <w:tcPr>
            <w:tcW w:w="1473" w:type="dxa"/>
          </w:tcPr>
          <w:p>
            <w:pPr>
              <w:pStyle w:val="0"/>
              <w:jc w:val="center"/>
            </w:pPr>
            <w:r>
              <w:rPr>
                <w:sz w:val="20"/>
              </w:rPr>
              <w:t xml:space="preserve">50618,8</w:t>
            </w:r>
          </w:p>
        </w:tc>
        <w:tc>
          <w:tcPr>
            <w:tcW w:w="1473" w:type="dxa"/>
          </w:tcPr>
          <w:p>
            <w:pPr>
              <w:pStyle w:val="0"/>
              <w:jc w:val="center"/>
            </w:pPr>
            <w:r>
              <w:rPr>
                <w:sz w:val="20"/>
              </w:rPr>
              <w:t xml:space="preserve">50618,8</w:t>
            </w:r>
          </w:p>
        </w:tc>
        <w:tc>
          <w:tcPr>
            <w:tcW w:w="1474" w:type="dxa"/>
          </w:tcPr>
          <w:p>
            <w:pPr>
              <w:pStyle w:val="0"/>
              <w:jc w:val="center"/>
            </w:pPr>
            <w:r>
              <w:rPr>
                <w:sz w:val="20"/>
              </w:rPr>
              <w:t xml:space="preserve">50618,8</w:t>
            </w:r>
          </w:p>
        </w:tc>
      </w:tr>
      <w:tr>
        <w:tc>
          <w:tcPr>
            <w:tcW w:w="567" w:type="dxa"/>
          </w:tcPr>
          <w:p>
            <w:pPr>
              <w:pStyle w:val="0"/>
              <w:jc w:val="center"/>
            </w:pPr>
            <w:r>
              <w:rPr>
                <w:sz w:val="20"/>
              </w:rPr>
              <w:t xml:space="preserve">4.</w:t>
            </w:r>
          </w:p>
        </w:tc>
        <w:tc>
          <w:tcPr>
            <w:tcW w:w="4082" w:type="dxa"/>
          </w:tcPr>
          <w:p>
            <w:pPr>
              <w:pStyle w:val="0"/>
            </w:pPr>
            <w:r>
              <w:rPr>
                <w:sz w:val="20"/>
              </w:rPr>
              <w:t xml:space="preserve">Приобретение лекарственных препаратов для вновь выявленных больных, в том числе редкими (орфанными) заболеваниями</w:t>
            </w:r>
          </w:p>
        </w:tc>
        <w:tc>
          <w:tcPr>
            <w:tcW w:w="1473" w:type="dxa"/>
          </w:tcPr>
          <w:p>
            <w:pPr>
              <w:pStyle w:val="0"/>
              <w:jc w:val="center"/>
            </w:pPr>
            <w:r>
              <w:rPr>
                <w:sz w:val="20"/>
              </w:rPr>
              <w:t xml:space="preserve">186261,3</w:t>
            </w:r>
          </w:p>
        </w:tc>
        <w:tc>
          <w:tcPr>
            <w:tcW w:w="1473" w:type="dxa"/>
          </w:tcPr>
          <w:p>
            <w:pPr>
              <w:pStyle w:val="0"/>
              <w:jc w:val="center"/>
            </w:pPr>
            <w:r>
              <w:rPr>
                <w:sz w:val="20"/>
              </w:rPr>
              <w:t xml:space="preserve">186261,3</w:t>
            </w:r>
          </w:p>
        </w:tc>
        <w:tc>
          <w:tcPr>
            <w:tcW w:w="1474" w:type="dxa"/>
          </w:tcPr>
          <w:p>
            <w:pPr>
              <w:pStyle w:val="0"/>
              <w:jc w:val="center"/>
            </w:pPr>
            <w:r>
              <w:rPr>
                <w:sz w:val="20"/>
              </w:rPr>
              <w:t xml:space="preserve">186261,3</w:t>
            </w:r>
          </w:p>
        </w:tc>
      </w:tr>
      <w:tr>
        <w:tc>
          <w:tcPr>
            <w:tcW w:w="567" w:type="dxa"/>
          </w:tcPr>
          <w:p>
            <w:pPr>
              <w:pStyle w:val="0"/>
              <w:jc w:val="center"/>
            </w:pPr>
            <w:r>
              <w:rPr>
                <w:sz w:val="20"/>
              </w:rPr>
              <w:t xml:space="preserve">5.</w:t>
            </w:r>
          </w:p>
        </w:tc>
        <w:tc>
          <w:tcPr>
            <w:tcW w:w="4082" w:type="dxa"/>
          </w:tcPr>
          <w:p>
            <w:pPr>
              <w:pStyle w:val="0"/>
            </w:pPr>
            <w:r>
              <w:rPr>
                <w:sz w:val="20"/>
              </w:rPr>
              <w:t xml:space="preserve">Страховые взносы на ОМС неработающего населения в связи с индексацией коэффициента удорожания стоимости медицинской помощи и роста численности неработающих граждан</w:t>
            </w:r>
          </w:p>
        </w:tc>
        <w:tc>
          <w:tcPr>
            <w:tcW w:w="1473" w:type="dxa"/>
          </w:tcPr>
          <w:p>
            <w:pPr>
              <w:pStyle w:val="0"/>
              <w:jc w:val="center"/>
            </w:pPr>
            <w:r>
              <w:rPr>
                <w:sz w:val="20"/>
              </w:rPr>
              <w:t xml:space="preserve">228536,4</w:t>
            </w:r>
          </w:p>
        </w:tc>
        <w:tc>
          <w:tcPr>
            <w:tcW w:w="1473" w:type="dxa"/>
          </w:tcPr>
          <w:p>
            <w:pPr>
              <w:pStyle w:val="0"/>
              <w:jc w:val="center"/>
            </w:pPr>
            <w:r>
              <w:rPr>
                <w:sz w:val="20"/>
              </w:rPr>
              <w:t xml:space="preserve">450084,7</w:t>
            </w:r>
          </w:p>
        </w:tc>
        <w:tc>
          <w:tcPr>
            <w:tcW w:w="1474" w:type="dxa"/>
          </w:tcPr>
          <w:p>
            <w:pPr>
              <w:pStyle w:val="0"/>
            </w:pPr>
            <w:r>
              <w:rPr>
                <w:sz w:val="20"/>
              </w:rPr>
            </w:r>
          </w:p>
        </w:tc>
      </w:tr>
      <w:tr>
        <w:tc>
          <w:tcPr>
            <w:tcW w:w="567" w:type="dxa"/>
          </w:tcPr>
          <w:p>
            <w:pPr>
              <w:pStyle w:val="0"/>
              <w:jc w:val="center"/>
            </w:pPr>
            <w:r>
              <w:rPr>
                <w:sz w:val="20"/>
              </w:rPr>
              <w:t xml:space="preserve">6.</w:t>
            </w:r>
          </w:p>
        </w:tc>
        <w:tc>
          <w:tcPr>
            <w:tcW w:w="4082" w:type="dxa"/>
          </w:tcPr>
          <w:p>
            <w:pPr>
              <w:pStyle w:val="0"/>
            </w:pPr>
            <w:r>
              <w:rPr>
                <w:sz w:val="20"/>
              </w:rPr>
              <w:t xml:space="preserve">Предоставление мер социальной поддержки медицинским работникам при ипотечном жилищном кредитовании и на предоставление единовременных выплат врачам и фельдшерам скорой медицинской помощи</w:t>
            </w:r>
          </w:p>
        </w:tc>
        <w:tc>
          <w:tcPr>
            <w:tcW w:w="1473" w:type="dxa"/>
          </w:tcPr>
          <w:p>
            <w:pPr>
              <w:pStyle w:val="0"/>
              <w:jc w:val="center"/>
            </w:pPr>
            <w:r>
              <w:rPr>
                <w:sz w:val="20"/>
              </w:rPr>
              <w:t xml:space="preserve">81400,0</w:t>
            </w:r>
          </w:p>
        </w:tc>
        <w:tc>
          <w:tcPr>
            <w:tcW w:w="1473" w:type="dxa"/>
          </w:tcPr>
          <w:p>
            <w:pPr>
              <w:pStyle w:val="0"/>
              <w:jc w:val="center"/>
            </w:pPr>
            <w:r>
              <w:rPr>
                <w:sz w:val="20"/>
              </w:rPr>
              <w:t xml:space="preserve">81400,0</w:t>
            </w:r>
          </w:p>
        </w:tc>
        <w:tc>
          <w:tcPr>
            <w:tcW w:w="1474" w:type="dxa"/>
          </w:tcPr>
          <w:p>
            <w:pPr>
              <w:pStyle w:val="0"/>
              <w:jc w:val="center"/>
            </w:pPr>
            <w:r>
              <w:rPr>
                <w:sz w:val="20"/>
              </w:rPr>
              <w:t xml:space="preserve">81400,0</w:t>
            </w:r>
          </w:p>
        </w:tc>
      </w:tr>
      <w:tr>
        <w:tc>
          <w:tcPr>
            <w:tcW w:w="567" w:type="dxa"/>
          </w:tcPr>
          <w:p>
            <w:pPr>
              <w:pStyle w:val="0"/>
              <w:jc w:val="center"/>
            </w:pPr>
            <w:r>
              <w:rPr>
                <w:sz w:val="20"/>
              </w:rPr>
              <w:t xml:space="preserve">7.</w:t>
            </w:r>
          </w:p>
        </w:tc>
        <w:tc>
          <w:tcPr>
            <w:tcW w:w="4082" w:type="dxa"/>
          </w:tcPr>
          <w:p>
            <w:pPr>
              <w:pStyle w:val="0"/>
            </w:pPr>
            <w:r>
              <w:rPr>
                <w:sz w:val="20"/>
              </w:rPr>
              <w:t xml:space="preserve">Индексация текущих расходов в части оплаты коммунальных услуг (на 4%)</w:t>
            </w:r>
          </w:p>
        </w:tc>
        <w:tc>
          <w:tcPr>
            <w:tcW w:w="1473" w:type="dxa"/>
          </w:tcPr>
          <w:p>
            <w:pPr>
              <w:pStyle w:val="0"/>
              <w:jc w:val="center"/>
            </w:pPr>
            <w:r>
              <w:rPr>
                <w:sz w:val="20"/>
              </w:rPr>
              <w:t xml:space="preserve">23805,1</w:t>
            </w:r>
          </w:p>
        </w:tc>
        <w:tc>
          <w:tcPr>
            <w:tcW w:w="1473" w:type="dxa"/>
          </w:tcPr>
          <w:p>
            <w:pPr>
              <w:pStyle w:val="0"/>
              <w:jc w:val="center"/>
            </w:pPr>
            <w:r>
              <w:rPr>
                <w:sz w:val="20"/>
              </w:rPr>
              <w:t xml:space="preserve">23805,1</w:t>
            </w:r>
          </w:p>
        </w:tc>
        <w:tc>
          <w:tcPr>
            <w:tcW w:w="1474" w:type="dxa"/>
          </w:tcPr>
          <w:p>
            <w:pPr>
              <w:pStyle w:val="0"/>
              <w:jc w:val="center"/>
            </w:pPr>
            <w:r>
              <w:rPr>
                <w:sz w:val="20"/>
              </w:rPr>
              <w:t xml:space="preserve">23805,1</w:t>
            </w:r>
          </w:p>
        </w:tc>
      </w:tr>
      <w:tr>
        <w:tc>
          <w:tcPr>
            <w:tcW w:w="567" w:type="dxa"/>
          </w:tcPr>
          <w:p>
            <w:pPr>
              <w:pStyle w:val="0"/>
              <w:jc w:val="center"/>
            </w:pPr>
            <w:r>
              <w:rPr>
                <w:sz w:val="20"/>
              </w:rPr>
              <w:t xml:space="preserve">8.</w:t>
            </w:r>
          </w:p>
        </w:tc>
        <w:tc>
          <w:tcPr>
            <w:tcW w:w="4082" w:type="dxa"/>
          </w:tcPr>
          <w:p>
            <w:pPr>
              <w:pStyle w:val="0"/>
            </w:pPr>
            <w:r>
              <w:rPr>
                <w:sz w:val="20"/>
              </w:rPr>
              <w:t xml:space="preserve">Индексация дотации на выравнивание бюджетной обеспеченности МР (ГО) (на 4%)</w:t>
            </w:r>
          </w:p>
        </w:tc>
        <w:tc>
          <w:tcPr>
            <w:tcW w:w="1473" w:type="dxa"/>
          </w:tcPr>
          <w:p>
            <w:pPr>
              <w:pStyle w:val="0"/>
              <w:jc w:val="center"/>
            </w:pPr>
            <w:r>
              <w:rPr>
                <w:sz w:val="20"/>
              </w:rPr>
              <w:t xml:space="preserve">123902,7</w:t>
            </w:r>
          </w:p>
        </w:tc>
        <w:tc>
          <w:tcPr>
            <w:tcW w:w="1473" w:type="dxa"/>
          </w:tcPr>
          <w:p>
            <w:pPr>
              <w:pStyle w:val="0"/>
              <w:jc w:val="center"/>
            </w:pPr>
            <w:r>
              <w:rPr>
                <w:sz w:val="20"/>
              </w:rPr>
              <w:t xml:space="preserve">123902,7</w:t>
            </w:r>
          </w:p>
        </w:tc>
        <w:tc>
          <w:tcPr>
            <w:tcW w:w="1474" w:type="dxa"/>
          </w:tcPr>
          <w:p>
            <w:pPr>
              <w:pStyle w:val="0"/>
              <w:jc w:val="center"/>
            </w:pPr>
            <w:r>
              <w:rPr>
                <w:sz w:val="20"/>
              </w:rPr>
              <w:t xml:space="preserve">123902,7</w:t>
            </w:r>
          </w:p>
        </w:tc>
      </w:tr>
      <w:tr>
        <w:tc>
          <w:tcPr>
            <w:tcW w:w="567" w:type="dxa"/>
          </w:tcPr>
          <w:p>
            <w:pPr>
              <w:pStyle w:val="0"/>
              <w:jc w:val="center"/>
            </w:pPr>
            <w:r>
              <w:rPr>
                <w:sz w:val="20"/>
              </w:rPr>
              <w:t xml:space="preserve">9.</w:t>
            </w:r>
          </w:p>
        </w:tc>
        <w:tc>
          <w:tcPr>
            <w:tcW w:w="4082" w:type="dxa"/>
          </w:tcPr>
          <w:p>
            <w:pPr>
              <w:pStyle w:val="0"/>
            </w:pPr>
            <w:r>
              <w:rPr>
                <w:sz w:val="20"/>
              </w:rPr>
              <w:t xml:space="preserve">Увеличение расходов на единую субвенцию на дошкольное и общее образования (увеличение контингента обучающихся в школах на 2795 человек и уточнение контингента в детских дошкольных учреждениях)</w:t>
            </w:r>
          </w:p>
        </w:tc>
        <w:tc>
          <w:tcPr>
            <w:tcW w:w="1473" w:type="dxa"/>
          </w:tcPr>
          <w:p>
            <w:pPr>
              <w:pStyle w:val="0"/>
              <w:jc w:val="center"/>
            </w:pPr>
            <w:r>
              <w:rPr>
                <w:sz w:val="20"/>
              </w:rPr>
              <w:t xml:space="preserve">122148,0</w:t>
            </w:r>
          </w:p>
        </w:tc>
        <w:tc>
          <w:tcPr>
            <w:tcW w:w="1473" w:type="dxa"/>
          </w:tcPr>
          <w:p>
            <w:pPr>
              <w:pStyle w:val="0"/>
              <w:jc w:val="center"/>
            </w:pPr>
            <w:r>
              <w:rPr>
                <w:sz w:val="20"/>
              </w:rPr>
              <w:t xml:space="preserve">122148,0</w:t>
            </w:r>
          </w:p>
        </w:tc>
        <w:tc>
          <w:tcPr>
            <w:tcW w:w="1474" w:type="dxa"/>
          </w:tcPr>
          <w:p>
            <w:pPr>
              <w:pStyle w:val="0"/>
              <w:jc w:val="center"/>
            </w:pPr>
            <w:r>
              <w:rPr>
                <w:sz w:val="20"/>
              </w:rPr>
              <w:t xml:space="preserve">122148,0</w:t>
            </w:r>
          </w:p>
        </w:tc>
      </w:tr>
      <w:tr>
        <w:tc>
          <w:tcPr>
            <w:tcW w:w="567" w:type="dxa"/>
          </w:tcPr>
          <w:p>
            <w:pPr>
              <w:pStyle w:val="0"/>
              <w:jc w:val="center"/>
            </w:pPr>
            <w:r>
              <w:rPr>
                <w:sz w:val="20"/>
              </w:rPr>
              <w:t xml:space="preserve">10.</w:t>
            </w:r>
          </w:p>
        </w:tc>
        <w:tc>
          <w:tcPr>
            <w:tcW w:w="4082" w:type="dxa"/>
          </w:tcPr>
          <w:p>
            <w:pPr>
              <w:pStyle w:val="0"/>
            </w:pPr>
            <w:r>
              <w:rPr>
                <w:sz w:val="20"/>
              </w:rPr>
              <w:t xml:space="preserve">Укрепление материально-технической базы образовательных муниципальных учреждений</w:t>
            </w:r>
          </w:p>
        </w:tc>
        <w:tc>
          <w:tcPr>
            <w:tcW w:w="1473" w:type="dxa"/>
          </w:tcPr>
          <w:p>
            <w:pPr>
              <w:pStyle w:val="0"/>
              <w:jc w:val="center"/>
            </w:pPr>
            <w:r>
              <w:rPr>
                <w:sz w:val="20"/>
              </w:rPr>
              <w:t xml:space="preserve">271000,0</w:t>
            </w:r>
          </w:p>
        </w:tc>
        <w:tc>
          <w:tcPr>
            <w:tcW w:w="1473" w:type="dxa"/>
          </w:tcPr>
          <w:p>
            <w:pPr>
              <w:pStyle w:val="0"/>
              <w:jc w:val="center"/>
            </w:pPr>
            <w:r>
              <w:rPr>
                <w:sz w:val="20"/>
              </w:rPr>
              <w:t xml:space="preserve">271000,0</w:t>
            </w:r>
          </w:p>
        </w:tc>
        <w:tc>
          <w:tcPr>
            <w:tcW w:w="1474" w:type="dxa"/>
          </w:tcPr>
          <w:p>
            <w:pPr>
              <w:pStyle w:val="0"/>
              <w:jc w:val="center"/>
            </w:pPr>
            <w:r>
              <w:rPr>
                <w:sz w:val="20"/>
              </w:rPr>
              <w:t xml:space="preserve">271000,0</w:t>
            </w:r>
          </w:p>
        </w:tc>
      </w:tr>
      <w:tr>
        <w:tc>
          <w:tcPr>
            <w:tcW w:w="567" w:type="dxa"/>
          </w:tcPr>
          <w:p>
            <w:pPr>
              <w:pStyle w:val="0"/>
              <w:jc w:val="center"/>
            </w:pPr>
            <w:r>
              <w:rPr>
                <w:sz w:val="20"/>
              </w:rPr>
              <w:t xml:space="preserve">11.</w:t>
            </w:r>
          </w:p>
        </w:tc>
        <w:tc>
          <w:tcPr>
            <w:tcW w:w="4082" w:type="dxa"/>
          </w:tcPr>
          <w:p>
            <w:pPr>
              <w:pStyle w:val="0"/>
            </w:pPr>
            <w:r>
              <w:rPr>
                <w:sz w:val="20"/>
              </w:rPr>
              <w:t xml:space="preserve">Укрепление материально-технической базы центров занятости населения</w:t>
            </w:r>
          </w:p>
        </w:tc>
        <w:tc>
          <w:tcPr>
            <w:tcW w:w="1473" w:type="dxa"/>
          </w:tcPr>
          <w:p>
            <w:pPr>
              <w:pStyle w:val="0"/>
              <w:jc w:val="center"/>
            </w:pPr>
            <w:r>
              <w:rPr>
                <w:sz w:val="20"/>
              </w:rPr>
              <w:t xml:space="preserve">6500,0</w:t>
            </w:r>
          </w:p>
        </w:tc>
        <w:tc>
          <w:tcPr>
            <w:tcW w:w="1473" w:type="dxa"/>
          </w:tcPr>
          <w:p>
            <w:pPr>
              <w:pStyle w:val="0"/>
            </w:pPr>
            <w:r>
              <w:rPr>
                <w:sz w:val="20"/>
              </w:rPr>
            </w:r>
          </w:p>
        </w:tc>
        <w:tc>
          <w:tcPr>
            <w:tcW w:w="1474" w:type="dxa"/>
          </w:tcPr>
          <w:p>
            <w:pPr>
              <w:pStyle w:val="0"/>
            </w:pPr>
            <w:r>
              <w:rPr>
                <w:sz w:val="20"/>
              </w:rPr>
            </w:r>
          </w:p>
        </w:tc>
      </w:tr>
      <w:tr>
        <w:tc>
          <w:tcPr>
            <w:tcW w:w="567" w:type="dxa"/>
          </w:tcPr>
          <w:p>
            <w:pPr>
              <w:pStyle w:val="0"/>
              <w:jc w:val="center"/>
            </w:pPr>
            <w:r>
              <w:rPr>
                <w:sz w:val="20"/>
              </w:rPr>
              <w:t xml:space="preserve">12.</w:t>
            </w:r>
          </w:p>
        </w:tc>
        <w:tc>
          <w:tcPr>
            <w:tcW w:w="4082" w:type="dxa"/>
          </w:tcPr>
          <w:p>
            <w:pPr>
              <w:pStyle w:val="0"/>
            </w:pPr>
            <w:r>
              <w:rPr>
                <w:sz w:val="20"/>
              </w:rPr>
              <w:t xml:space="preserve">Содействие трудоустройства граждан, освободившихся из мест лишения свободы (поручение Президента РФ от 24.03.2021 N Пр-467)</w:t>
            </w:r>
          </w:p>
        </w:tc>
        <w:tc>
          <w:tcPr>
            <w:tcW w:w="1473" w:type="dxa"/>
          </w:tcPr>
          <w:p>
            <w:pPr>
              <w:pStyle w:val="0"/>
              <w:jc w:val="center"/>
            </w:pPr>
            <w:r>
              <w:rPr>
                <w:sz w:val="20"/>
              </w:rPr>
              <w:t xml:space="preserve">999,3</w:t>
            </w:r>
          </w:p>
        </w:tc>
        <w:tc>
          <w:tcPr>
            <w:tcW w:w="1473" w:type="dxa"/>
          </w:tcPr>
          <w:p>
            <w:pPr>
              <w:pStyle w:val="0"/>
              <w:jc w:val="center"/>
            </w:pPr>
            <w:r>
              <w:rPr>
                <w:sz w:val="20"/>
              </w:rPr>
              <w:t xml:space="preserve">999,3</w:t>
            </w:r>
          </w:p>
        </w:tc>
        <w:tc>
          <w:tcPr>
            <w:tcW w:w="1474" w:type="dxa"/>
          </w:tcPr>
          <w:p>
            <w:pPr>
              <w:pStyle w:val="0"/>
              <w:jc w:val="center"/>
            </w:pPr>
            <w:r>
              <w:rPr>
                <w:sz w:val="20"/>
              </w:rPr>
              <w:t xml:space="preserve">999,3</w:t>
            </w:r>
          </w:p>
        </w:tc>
      </w:tr>
      <w:tr>
        <w:tc>
          <w:tcPr>
            <w:tcW w:w="567" w:type="dxa"/>
          </w:tcPr>
          <w:p>
            <w:pPr>
              <w:pStyle w:val="0"/>
              <w:jc w:val="center"/>
            </w:pPr>
            <w:r>
              <w:rPr>
                <w:sz w:val="20"/>
              </w:rPr>
              <w:t xml:space="preserve">13.</w:t>
            </w:r>
          </w:p>
        </w:tc>
        <w:tc>
          <w:tcPr>
            <w:tcW w:w="4082" w:type="dxa"/>
          </w:tcPr>
          <w:p>
            <w:pPr>
              <w:pStyle w:val="0"/>
            </w:pPr>
            <w:r>
              <w:rPr>
                <w:sz w:val="20"/>
              </w:rPr>
              <w:t xml:space="preserve">Реализация мероприятий на содействие занятости инвалидов и на организацию стажировки граждан из числа выпускников профессиональных образовательных организаций и образовательных организаций высшего образования в связи с увеличением МРОТ</w:t>
            </w:r>
          </w:p>
        </w:tc>
        <w:tc>
          <w:tcPr>
            <w:tcW w:w="1473" w:type="dxa"/>
          </w:tcPr>
          <w:p>
            <w:pPr>
              <w:pStyle w:val="0"/>
              <w:jc w:val="center"/>
            </w:pPr>
            <w:r>
              <w:rPr>
                <w:sz w:val="20"/>
              </w:rPr>
              <w:t xml:space="preserve">334,8</w:t>
            </w:r>
          </w:p>
        </w:tc>
        <w:tc>
          <w:tcPr>
            <w:tcW w:w="1473" w:type="dxa"/>
          </w:tcPr>
          <w:p>
            <w:pPr>
              <w:pStyle w:val="0"/>
              <w:jc w:val="center"/>
            </w:pPr>
            <w:r>
              <w:rPr>
                <w:sz w:val="20"/>
              </w:rPr>
              <w:t xml:space="preserve">334,8</w:t>
            </w:r>
          </w:p>
        </w:tc>
        <w:tc>
          <w:tcPr>
            <w:tcW w:w="1474" w:type="dxa"/>
          </w:tcPr>
          <w:p>
            <w:pPr>
              <w:pStyle w:val="0"/>
              <w:jc w:val="center"/>
            </w:pPr>
            <w:r>
              <w:rPr>
                <w:sz w:val="20"/>
              </w:rPr>
              <w:t xml:space="preserve">334,8</w:t>
            </w:r>
          </w:p>
        </w:tc>
      </w:tr>
      <w:tr>
        <w:tc>
          <w:tcPr>
            <w:tcW w:w="567" w:type="dxa"/>
          </w:tcPr>
          <w:p>
            <w:pPr>
              <w:pStyle w:val="0"/>
              <w:jc w:val="center"/>
            </w:pPr>
            <w:r>
              <w:rPr>
                <w:sz w:val="20"/>
              </w:rPr>
              <w:t xml:space="preserve">14.</w:t>
            </w:r>
          </w:p>
        </w:tc>
        <w:tc>
          <w:tcPr>
            <w:tcW w:w="4082" w:type="dxa"/>
          </w:tcPr>
          <w:p>
            <w:pPr>
              <w:pStyle w:val="0"/>
            </w:pPr>
            <w:r>
              <w:rPr>
                <w:sz w:val="20"/>
              </w:rPr>
              <w:t xml:space="preserve">Укрепление материально-технической базы муниципальных учреждений культуры</w:t>
            </w:r>
          </w:p>
        </w:tc>
        <w:tc>
          <w:tcPr>
            <w:tcW w:w="1473" w:type="dxa"/>
          </w:tcPr>
          <w:p>
            <w:pPr>
              <w:pStyle w:val="0"/>
              <w:jc w:val="center"/>
            </w:pPr>
            <w:r>
              <w:rPr>
                <w:sz w:val="20"/>
              </w:rPr>
              <w:t xml:space="preserve">134146,5</w:t>
            </w:r>
          </w:p>
        </w:tc>
        <w:tc>
          <w:tcPr>
            <w:tcW w:w="1473" w:type="dxa"/>
          </w:tcPr>
          <w:p>
            <w:pPr>
              <w:pStyle w:val="0"/>
              <w:jc w:val="center"/>
            </w:pPr>
            <w:r>
              <w:rPr>
                <w:sz w:val="20"/>
              </w:rPr>
              <w:t xml:space="preserve">134146,5</w:t>
            </w:r>
          </w:p>
        </w:tc>
        <w:tc>
          <w:tcPr>
            <w:tcW w:w="1474" w:type="dxa"/>
          </w:tcPr>
          <w:p>
            <w:pPr>
              <w:pStyle w:val="0"/>
              <w:jc w:val="center"/>
            </w:pPr>
            <w:r>
              <w:rPr>
                <w:sz w:val="20"/>
              </w:rPr>
              <w:t xml:space="preserve">134146,5</w:t>
            </w:r>
          </w:p>
        </w:tc>
      </w:tr>
      <w:tr>
        <w:tc>
          <w:tcPr>
            <w:tcW w:w="567" w:type="dxa"/>
          </w:tcPr>
          <w:p>
            <w:pPr>
              <w:pStyle w:val="0"/>
              <w:jc w:val="center"/>
            </w:pPr>
            <w:r>
              <w:rPr>
                <w:sz w:val="20"/>
              </w:rPr>
              <w:t xml:space="preserve">15.</w:t>
            </w:r>
          </w:p>
        </w:tc>
        <w:tc>
          <w:tcPr>
            <w:tcW w:w="4082" w:type="dxa"/>
          </w:tcPr>
          <w:p>
            <w:pPr>
              <w:pStyle w:val="0"/>
            </w:pPr>
            <w:r>
              <w:rPr>
                <w:sz w:val="20"/>
              </w:rPr>
              <w:t xml:space="preserve">Строительство питомника для животных без владельцев и расходы на его содержание</w:t>
            </w:r>
          </w:p>
        </w:tc>
        <w:tc>
          <w:tcPr>
            <w:tcW w:w="1473" w:type="dxa"/>
          </w:tcPr>
          <w:p>
            <w:pPr>
              <w:pStyle w:val="0"/>
              <w:jc w:val="center"/>
            </w:pPr>
            <w:r>
              <w:rPr>
                <w:sz w:val="20"/>
              </w:rPr>
              <w:t xml:space="preserve">40000,0</w:t>
            </w:r>
          </w:p>
        </w:tc>
        <w:tc>
          <w:tcPr>
            <w:tcW w:w="1473" w:type="dxa"/>
          </w:tcPr>
          <w:p>
            <w:pPr>
              <w:pStyle w:val="0"/>
              <w:jc w:val="center"/>
            </w:pPr>
            <w:r>
              <w:rPr>
                <w:sz w:val="20"/>
              </w:rPr>
              <w:t xml:space="preserve">13200,0</w:t>
            </w:r>
          </w:p>
        </w:tc>
        <w:tc>
          <w:tcPr>
            <w:tcW w:w="1474" w:type="dxa"/>
          </w:tcPr>
          <w:p>
            <w:pPr>
              <w:pStyle w:val="0"/>
              <w:jc w:val="center"/>
            </w:pPr>
            <w:r>
              <w:rPr>
                <w:sz w:val="20"/>
              </w:rPr>
              <w:t xml:space="preserve">13200,0</w:t>
            </w:r>
          </w:p>
        </w:tc>
      </w:tr>
      <w:tr>
        <w:tc>
          <w:tcPr>
            <w:tcW w:w="567" w:type="dxa"/>
          </w:tcPr>
          <w:p>
            <w:pPr>
              <w:pStyle w:val="0"/>
              <w:jc w:val="center"/>
            </w:pPr>
            <w:r>
              <w:rPr>
                <w:sz w:val="20"/>
              </w:rPr>
              <w:t xml:space="preserve">16.</w:t>
            </w:r>
          </w:p>
        </w:tc>
        <w:tc>
          <w:tcPr>
            <w:tcW w:w="4082" w:type="dxa"/>
          </w:tcPr>
          <w:p>
            <w:pPr>
              <w:pStyle w:val="0"/>
            </w:pPr>
            <w:r>
              <w:rPr>
                <w:sz w:val="20"/>
              </w:rPr>
              <w:t xml:space="preserve">Укрепление материально-технической базы государственных учреждений здравоохранения</w:t>
            </w:r>
          </w:p>
        </w:tc>
        <w:tc>
          <w:tcPr>
            <w:tcW w:w="1473" w:type="dxa"/>
          </w:tcPr>
          <w:p>
            <w:pPr>
              <w:pStyle w:val="0"/>
              <w:jc w:val="center"/>
            </w:pPr>
            <w:r>
              <w:rPr>
                <w:sz w:val="20"/>
              </w:rPr>
              <w:t xml:space="preserve">995900,5</w:t>
            </w:r>
          </w:p>
        </w:tc>
        <w:tc>
          <w:tcPr>
            <w:tcW w:w="1473" w:type="dxa"/>
          </w:tcPr>
          <w:p>
            <w:pPr>
              <w:pStyle w:val="0"/>
              <w:jc w:val="center"/>
            </w:pPr>
            <w:r>
              <w:rPr>
                <w:sz w:val="20"/>
              </w:rPr>
              <w:t xml:space="preserve">474457,0</w:t>
            </w:r>
          </w:p>
        </w:tc>
        <w:tc>
          <w:tcPr>
            <w:tcW w:w="1474" w:type="dxa"/>
          </w:tcPr>
          <w:p>
            <w:pPr>
              <w:pStyle w:val="0"/>
            </w:pPr>
            <w:r>
              <w:rPr>
                <w:sz w:val="20"/>
              </w:rPr>
            </w:r>
          </w:p>
        </w:tc>
      </w:tr>
      <w:tr>
        <w:tc>
          <w:tcPr>
            <w:tcW w:w="567" w:type="dxa"/>
          </w:tcPr>
          <w:p>
            <w:pPr>
              <w:pStyle w:val="0"/>
              <w:jc w:val="center"/>
            </w:pPr>
            <w:r>
              <w:rPr>
                <w:sz w:val="20"/>
              </w:rPr>
              <w:t xml:space="preserve">17.</w:t>
            </w:r>
          </w:p>
        </w:tc>
        <w:tc>
          <w:tcPr>
            <w:tcW w:w="4082" w:type="dxa"/>
          </w:tcPr>
          <w:p>
            <w:pPr>
              <w:pStyle w:val="0"/>
            </w:pPr>
            <w:r>
              <w:rPr>
                <w:sz w:val="20"/>
              </w:rPr>
              <w:t xml:space="preserve">Строительство поликлиники в мкр. Заклязьменский (ГП N 2 в г. Владимире)</w:t>
            </w:r>
          </w:p>
        </w:tc>
        <w:tc>
          <w:tcPr>
            <w:tcW w:w="1473" w:type="dxa"/>
          </w:tcPr>
          <w:p>
            <w:pPr>
              <w:pStyle w:val="0"/>
            </w:pPr>
            <w:r>
              <w:rPr>
                <w:sz w:val="20"/>
              </w:rPr>
            </w:r>
          </w:p>
        </w:tc>
        <w:tc>
          <w:tcPr>
            <w:tcW w:w="1473" w:type="dxa"/>
          </w:tcPr>
          <w:p>
            <w:pPr>
              <w:pStyle w:val="0"/>
            </w:pPr>
            <w:r>
              <w:rPr>
                <w:sz w:val="20"/>
              </w:rPr>
            </w:r>
          </w:p>
        </w:tc>
        <w:tc>
          <w:tcPr>
            <w:tcW w:w="1474" w:type="dxa"/>
          </w:tcPr>
          <w:p>
            <w:pPr>
              <w:pStyle w:val="0"/>
              <w:jc w:val="center"/>
            </w:pPr>
            <w:r>
              <w:rPr>
                <w:sz w:val="20"/>
              </w:rPr>
              <w:t xml:space="preserve">227043,8</w:t>
            </w:r>
          </w:p>
        </w:tc>
      </w:tr>
      <w:tr>
        <w:tc>
          <w:tcPr>
            <w:tcW w:w="567" w:type="dxa"/>
          </w:tcPr>
          <w:p>
            <w:pPr>
              <w:pStyle w:val="0"/>
              <w:jc w:val="center"/>
            </w:pPr>
            <w:r>
              <w:rPr>
                <w:sz w:val="20"/>
              </w:rPr>
              <w:t xml:space="preserve">18.</w:t>
            </w:r>
          </w:p>
        </w:tc>
        <w:tc>
          <w:tcPr>
            <w:tcW w:w="4082" w:type="dxa"/>
          </w:tcPr>
          <w:p>
            <w:pPr>
              <w:pStyle w:val="0"/>
            </w:pPr>
            <w:r>
              <w:rPr>
                <w:sz w:val="20"/>
              </w:rPr>
              <w:t xml:space="preserve">Создание механизмов, направленных на повышение туристского потенциала малых городов Гороховец и Муром, а также на предоставление иного межбюджетного трансферта муниципальным образованиям на исполнение мероприятий по созданию благоприятных условий по развитию туризма</w:t>
            </w:r>
          </w:p>
        </w:tc>
        <w:tc>
          <w:tcPr>
            <w:tcW w:w="1473" w:type="dxa"/>
          </w:tcPr>
          <w:p>
            <w:pPr>
              <w:pStyle w:val="0"/>
              <w:jc w:val="center"/>
            </w:pPr>
            <w:r>
              <w:rPr>
                <w:sz w:val="20"/>
              </w:rPr>
              <w:t xml:space="preserve">43930,0</w:t>
            </w:r>
          </w:p>
        </w:tc>
        <w:tc>
          <w:tcPr>
            <w:tcW w:w="1473" w:type="dxa"/>
          </w:tcPr>
          <w:p>
            <w:pPr>
              <w:pStyle w:val="0"/>
              <w:jc w:val="center"/>
            </w:pPr>
            <w:r>
              <w:rPr>
                <w:sz w:val="20"/>
              </w:rPr>
              <w:t xml:space="preserve">43930,0</w:t>
            </w:r>
          </w:p>
        </w:tc>
        <w:tc>
          <w:tcPr>
            <w:tcW w:w="1474" w:type="dxa"/>
          </w:tcPr>
          <w:p>
            <w:pPr>
              <w:pStyle w:val="0"/>
              <w:jc w:val="center"/>
            </w:pPr>
            <w:r>
              <w:rPr>
                <w:sz w:val="20"/>
              </w:rPr>
              <w:t xml:space="preserve">43930,0</w:t>
            </w:r>
          </w:p>
        </w:tc>
      </w:tr>
      <w:tr>
        <w:tc>
          <w:tcPr>
            <w:tcW w:w="567" w:type="dxa"/>
          </w:tcPr>
          <w:p>
            <w:pPr>
              <w:pStyle w:val="0"/>
              <w:jc w:val="center"/>
            </w:pPr>
            <w:r>
              <w:rPr>
                <w:sz w:val="20"/>
              </w:rPr>
              <w:t xml:space="preserve">19.</w:t>
            </w:r>
          </w:p>
        </w:tc>
        <w:tc>
          <w:tcPr>
            <w:tcW w:w="4082" w:type="dxa"/>
          </w:tcPr>
          <w:p>
            <w:pPr>
              <w:pStyle w:val="0"/>
            </w:pPr>
            <w:r>
              <w:rPr>
                <w:sz w:val="20"/>
              </w:rPr>
              <w:t xml:space="preserve">Оплата почтовых знаков и курьерской доставки для пересылки судебной корреспонденции</w:t>
            </w:r>
          </w:p>
        </w:tc>
        <w:tc>
          <w:tcPr>
            <w:tcW w:w="1473" w:type="dxa"/>
          </w:tcPr>
          <w:p>
            <w:pPr>
              <w:pStyle w:val="0"/>
              <w:jc w:val="center"/>
            </w:pPr>
            <w:r>
              <w:rPr>
                <w:sz w:val="20"/>
              </w:rPr>
              <w:t xml:space="preserve">23000,0</w:t>
            </w:r>
          </w:p>
        </w:tc>
        <w:tc>
          <w:tcPr>
            <w:tcW w:w="1473" w:type="dxa"/>
          </w:tcPr>
          <w:p>
            <w:pPr>
              <w:pStyle w:val="0"/>
              <w:jc w:val="center"/>
            </w:pPr>
            <w:r>
              <w:rPr>
                <w:sz w:val="20"/>
              </w:rPr>
              <w:t xml:space="preserve">23000,0</w:t>
            </w:r>
          </w:p>
        </w:tc>
        <w:tc>
          <w:tcPr>
            <w:tcW w:w="1474" w:type="dxa"/>
          </w:tcPr>
          <w:p>
            <w:pPr>
              <w:pStyle w:val="0"/>
              <w:jc w:val="center"/>
            </w:pPr>
            <w:r>
              <w:rPr>
                <w:sz w:val="20"/>
              </w:rPr>
              <w:t xml:space="preserve">23000,0</w:t>
            </w:r>
          </w:p>
        </w:tc>
      </w:tr>
      <w:tr>
        <w:tc>
          <w:tcPr>
            <w:tcW w:w="567" w:type="dxa"/>
          </w:tcPr>
          <w:p>
            <w:pPr>
              <w:pStyle w:val="0"/>
              <w:jc w:val="center"/>
            </w:pPr>
            <w:r>
              <w:rPr>
                <w:sz w:val="20"/>
              </w:rPr>
              <w:t xml:space="preserve">20.</w:t>
            </w:r>
          </w:p>
        </w:tc>
        <w:tc>
          <w:tcPr>
            <w:tcW w:w="4082" w:type="dxa"/>
          </w:tcPr>
          <w:p>
            <w:pPr>
              <w:pStyle w:val="0"/>
            </w:pPr>
            <w:r>
              <w:rPr>
                <w:sz w:val="20"/>
              </w:rPr>
              <w:t xml:space="preserve">Субсидии Фонду развития промышленности Владимирской области</w:t>
            </w:r>
          </w:p>
        </w:tc>
        <w:tc>
          <w:tcPr>
            <w:tcW w:w="1473" w:type="dxa"/>
          </w:tcPr>
          <w:p>
            <w:pPr>
              <w:pStyle w:val="0"/>
              <w:jc w:val="center"/>
            </w:pPr>
            <w:r>
              <w:rPr>
                <w:sz w:val="20"/>
              </w:rPr>
              <w:t xml:space="preserve">9000,0</w:t>
            </w:r>
          </w:p>
        </w:tc>
        <w:tc>
          <w:tcPr>
            <w:tcW w:w="1473" w:type="dxa"/>
          </w:tcPr>
          <w:p>
            <w:pPr>
              <w:pStyle w:val="0"/>
            </w:pPr>
            <w:r>
              <w:rPr>
                <w:sz w:val="20"/>
              </w:rPr>
            </w:r>
          </w:p>
        </w:tc>
        <w:tc>
          <w:tcPr>
            <w:tcW w:w="1474" w:type="dxa"/>
          </w:tcPr>
          <w:p>
            <w:pPr>
              <w:pStyle w:val="0"/>
            </w:pPr>
            <w:r>
              <w:rPr>
                <w:sz w:val="20"/>
              </w:rPr>
            </w:r>
          </w:p>
        </w:tc>
      </w:tr>
      <w:tr>
        <w:tc>
          <w:tcPr>
            <w:tcW w:w="567" w:type="dxa"/>
          </w:tcPr>
          <w:p>
            <w:pPr>
              <w:pStyle w:val="0"/>
              <w:jc w:val="center"/>
            </w:pPr>
            <w:r>
              <w:rPr>
                <w:sz w:val="20"/>
              </w:rPr>
              <w:t xml:space="preserve">21.</w:t>
            </w:r>
          </w:p>
        </w:tc>
        <w:tc>
          <w:tcPr>
            <w:tcW w:w="4082" w:type="dxa"/>
          </w:tcPr>
          <w:p>
            <w:pPr>
              <w:pStyle w:val="0"/>
            </w:pPr>
            <w:r>
              <w:rPr>
                <w:sz w:val="20"/>
              </w:rPr>
              <w:t xml:space="preserve">Субвенция федеральному бюджету на осуществление части переданных полномочий по составлению протоколов об административных правонарушениях, посягающих на общественный порядок и общественную безопасность</w:t>
            </w:r>
          </w:p>
        </w:tc>
        <w:tc>
          <w:tcPr>
            <w:tcW w:w="1473" w:type="dxa"/>
          </w:tcPr>
          <w:p>
            <w:pPr>
              <w:pStyle w:val="0"/>
              <w:jc w:val="center"/>
            </w:pPr>
            <w:r>
              <w:rPr>
                <w:sz w:val="20"/>
              </w:rPr>
              <w:t xml:space="preserve">5072,4</w:t>
            </w:r>
          </w:p>
        </w:tc>
        <w:tc>
          <w:tcPr>
            <w:tcW w:w="1473" w:type="dxa"/>
          </w:tcPr>
          <w:p>
            <w:pPr>
              <w:pStyle w:val="0"/>
              <w:jc w:val="center"/>
            </w:pPr>
            <w:r>
              <w:rPr>
                <w:sz w:val="20"/>
              </w:rPr>
              <w:t xml:space="preserve">5275,3</w:t>
            </w:r>
          </w:p>
        </w:tc>
        <w:tc>
          <w:tcPr>
            <w:tcW w:w="1474" w:type="dxa"/>
          </w:tcPr>
          <w:p>
            <w:pPr>
              <w:pStyle w:val="0"/>
              <w:jc w:val="center"/>
            </w:pPr>
            <w:r>
              <w:rPr>
                <w:sz w:val="20"/>
              </w:rPr>
              <w:t xml:space="preserve">5275,3</w:t>
            </w:r>
          </w:p>
        </w:tc>
      </w:tr>
      <w:tr>
        <w:tc>
          <w:tcPr>
            <w:tcW w:w="567" w:type="dxa"/>
          </w:tcPr>
          <w:p>
            <w:pPr>
              <w:pStyle w:val="0"/>
              <w:jc w:val="center"/>
            </w:pPr>
            <w:r>
              <w:rPr>
                <w:sz w:val="20"/>
              </w:rPr>
              <w:t xml:space="preserve">22.</w:t>
            </w:r>
          </w:p>
        </w:tc>
        <w:tc>
          <w:tcPr>
            <w:tcW w:w="4082" w:type="dxa"/>
          </w:tcPr>
          <w:p>
            <w:pPr>
              <w:pStyle w:val="0"/>
            </w:pPr>
            <w:r>
              <w:rPr>
                <w:sz w:val="20"/>
              </w:rPr>
              <w:t xml:space="preserve">Резерв средств на участие области в реализации государственных программ Российской Федерации, национальных и федеральных проектов</w:t>
            </w:r>
          </w:p>
        </w:tc>
        <w:tc>
          <w:tcPr>
            <w:tcW w:w="1473" w:type="dxa"/>
          </w:tcPr>
          <w:p>
            <w:pPr>
              <w:pStyle w:val="0"/>
              <w:jc w:val="center"/>
            </w:pPr>
            <w:r>
              <w:rPr>
                <w:sz w:val="20"/>
              </w:rPr>
              <w:t xml:space="preserve">348000,00</w:t>
            </w:r>
          </w:p>
        </w:tc>
        <w:tc>
          <w:tcPr>
            <w:tcW w:w="1473" w:type="dxa"/>
          </w:tcPr>
          <w:p>
            <w:pPr>
              <w:pStyle w:val="0"/>
              <w:jc w:val="center"/>
            </w:pPr>
            <w:r>
              <w:rPr>
                <w:sz w:val="20"/>
              </w:rPr>
              <w:t xml:space="preserve">264000,0</w:t>
            </w:r>
          </w:p>
        </w:tc>
        <w:tc>
          <w:tcPr>
            <w:tcW w:w="1474" w:type="dxa"/>
          </w:tcPr>
          <w:p>
            <w:pPr>
              <w:pStyle w:val="0"/>
              <w:jc w:val="center"/>
            </w:pPr>
            <w:r>
              <w:rPr>
                <w:sz w:val="20"/>
              </w:rPr>
              <w:t xml:space="preserve">257000,0</w:t>
            </w:r>
          </w:p>
        </w:tc>
      </w:tr>
      <w:tr>
        <w:tc>
          <w:tcPr>
            <w:tcW w:w="567" w:type="dxa"/>
          </w:tcPr>
          <w:p>
            <w:pPr>
              <w:pStyle w:val="0"/>
              <w:jc w:val="center"/>
            </w:pPr>
            <w:r>
              <w:rPr>
                <w:sz w:val="20"/>
              </w:rPr>
              <w:t xml:space="preserve">23.</w:t>
            </w:r>
          </w:p>
        </w:tc>
        <w:tc>
          <w:tcPr>
            <w:tcW w:w="4082" w:type="dxa"/>
          </w:tcPr>
          <w:p>
            <w:pPr>
              <w:pStyle w:val="0"/>
            </w:pPr>
            <w:r>
              <w:rPr>
                <w:sz w:val="20"/>
              </w:rPr>
              <w:t xml:space="preserve">Резерв средств на строительство (реконструкцию) областных объектов, которые будут доведены после разработки ПСД с госэкспертизой (в том числе: строительство станций скорой медицинской помощи в г. Владимире, пристройки к областному перинатальному центру, реконструкция здания драмтеатра в г. Владимире)</w:t>
            </w:r>
          </w:p>
        </w:tc>
        <w:tc>
          <w:tcPr>
            <w:tcW w:w="1473" w:type="dxa"/>
          </w:tcPr>
          <w:p>
            <w:pPr>
              <w:pStyle w:val="0"/>
              <w:jc w:val="center"/>
            </w:pPr>
            <w:r>
              <w:rPr>
                <w:sz w:val="20"/>
              </w:rPr>
              <w:t xml:space="preserve">297289,5</w:t>
            </w:r>
          </w:p>
        </w:tc>
        <w:tc>
          <w:tcPr>
            <w:tcW w:w="1473" w:type="dxa"/>
          </w:tcPr>
          <w:p>
            <w:pPr>
              <w:pStyle w:val="0"/>
            </w:pPr>
            <w:r>
              <w:rPr>
                <w:sz w:val="20"/>
              </w:rPr>
            </w:r>
          </w:p>
        </w:tc>
        <w:tc>
          <w:tcPr>
            <w:tcW w:w="1474" w:type="dxa"/>
          </w:tcPr>
          <w:p>
            <w:pPr>
              <w:pStyle w:val="0"/>
            </w:pPr>
            <w:r>
              <w:rPr>
                <w:sz w:val="20"/>
              </w:rPr>
            </w:r>
          </w:p>
        </w:tc>
      </w:tr>
      <w:tr>
        <w:tc>
          <w:tcPr>
            <w:tcW w:w="567" w:type="dxa"/>
          </w:tcPr>
          <w:p>
            <w:pPr>
              <w:pStyle w:val="0"/>
            </w:pPr>
            <w:r>
              <w:rPr>
                <w:sz w:val="20"/>
              </w:rPr>
            </w:r>
          </w:p>
        </w:tc>
        <w:tc>
          <w:tcPr>
            <w:tcW w:w="4082" w:type="dxa"/>
          </w:tcPr>
          <w:p>
            <w:pPr>
              <w:pStyle w:val="0"/>
            </w:pPr>
            <w:r>
              <w:rPr>
                <w:sz w:val="20"/>
              </w:rPr>
              <w:t xml:space="preserve">ИТОГО</w:t>
            </w:r>
          </w:p>
        </w:tc>
        <w:tc>
          <w:tcPr>
            <w:tcW w:w="1473" w:type="dxa"/>
          </w:tcPr>
          <w:p>
            <w:pPr>
              <w:pStyle w:val="0"/>
              <w:jc w:val="center"/>
            </w:pPr>
            <w:r>
              <w:rPr>
                <w:sz w:val="20"/>
              </w:rPr>
              <w:t xml:space="preserve">4934987,9</w:t>
            </w:r>
          </w:p>
        </w:tc>
        <w:tc>
          <w:tcPr>
            <w:tcW w:w="1473" w:type="dxa"/>
          </w:tcPr>
          <w:p>
            <w:pPr>
              <w:pStyle w:val="0"/>
              <w:jc w:val="center"/>
            </w:pPr>
            <w:r>
              <w:rPr>
                <w:sz w:val="20"/>
              </w:rPr>
              <w:t xml:space="preserve">4210755,6</w:t>
            </w:r>
          </w:p>
        </w:tc>
        <w:tc>
          <w:tcPr>
            <w:tcW w:w="1474" w:type="dxa"/>
          </w:tcPr>
          <w:p>
            <w:pPr>
              <w:pStyle w:val="0"/>
              <w:jc w:val="center"/>
            </w:pPr>
            <w:r>
              <w:rPr>
                <w:sz w:val="20"/>
              </w:rPr>
              <w:t xml:space="preserve">3506257,7</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8</w:t>
      </w:r>
    </w:p>
    <w:p>
      <w:pPr>
        <w:pStyle w:val="0"/>
        <w:jc w:val="right"/>
      </w:pPr>
      <w:r>
        <w:rPr>
          <w:sz w:val="20"/>
        </w:rPr>
        <w:t xml:space="preserve">к распоряжению</w:t>
      </w:r>
    </w:p>
    <w:p>
      <w:pPr>
        <w:pStyle w:val="0"/>
        <w:jc w:val="right"/>
      </w:pPr>
      <w:r>
        <w:rPr>
          <w:sz w:val="20"/>
        </w:rPr>
        <w:t xml:space="preserve">администрации</w:t>
      </w:r>
    </w:p>
    <w:p>
      <w:pPr>
        <w:pStyle w:val="0"/>
        <w:jc w:val="right"/>
      </w:pPr>
      <w:r>
        <w:rPr>
          <w:sz w:val="20"/>
        </w:rPr>
        <w:t xml:space="preserve">Владимирской области</w:t>
      </w:r>
    </w:p>
    <w:p>
      <w:pPr>
        <w:pStyle w:val="0"/>
        <w:jc w:val="right"/>
      </w:pPr>
      <w:r>
        <w:rPr>
          <w:sz w:val="20"/>
        </w:rPr>
        <w:t xml:space="preserve">от 05.07.2021 N 512-р</w:t>
      </w:r>
    </w:p>
    <w:p>
      <w:pPr>
        <w:pStyle w:val="0"/>
        <w:jc w:val="both"/>
      </w:pPr>
      <w:r>
        <w:rPr>
          <w:sz w:val="20"/>
        </w:rPr>
      </w:r>
    </w:p>
    <w:bookmarkStart w:id="1269" w:name="P1269"/>
    <w:bookmarkEnd w:id="1269"/>
    <w:p>
      <w:pPr>
        <w:pStyle w:val="2"/>
        <w:jc w:val="center"/>
      </w:pPr>
      <w:r>
        <w:rPr>
          <w:sz w:val="20"/>
        </w:rPr>
        <w:t xml:space="preserve">ПЕРЕЧЕНЬ</w:t>
      </w:r>
    </w:p>
    <w:p>
      <w:pPr>
        <w:pStyle w:val="2"/>
        <w:jc w:val="center"/>
      </w:pPr>
      <w:r>
        <w:rPr>
          <w:sz w:val="20"/>
        </w:rPr>
        <w:t xml:space="preserve">ПРИОРИТЕТНЫХ НАПРАВЛЕНИЙ СОФИНАНСИРОВАНИЯ РАСХОДНЫХ</w:t>
      </w:r>
    </w:p>
    <w:p>
      <w:pPr>
        <w:pStyle w:val="2"/>
        <w:jc w:val="center"/>
      </w:pPr>
      <w:r>
        <w:rPr>
          <w:sz w:val="20"/>
        </w:rPr>
        <w:t xml:space="preserve">ОБЯЗАТЕЛЬСТВ МУНИЦИПАЛЬНЫХ ОБРАЗОВАНИЙ ВЛАДИМИРСКОЙ ОБЛАСТИ</w:t>
      </w:r>
    </w:p>
    <w:p>
      <w:pPr>
        <w:pStyle w:val="2"/>
        <w:jc w:val="center"/>
      </w:pPr>
      <w:r>
        <w:rPr>
          <w:sz w:val="20"/>
        </w:rPr>
        <w:t xml:space="preserve">НА 2022 ГОД И НА ПЛАНОВЫЙ ПЕРИОД 2023 И 2024 ГОДОВ</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2608"/>
        <w:gridCol w:w="1644"/>
        <w:gridCol w:w="1247"/>
        <w:gridCol w:w="3515"/>
        <w:gridCol w:w="737"/>
        <w:gridCol w:w="1077"/>
        <w:gridCol w:w="1077"/>
        <w:gridCol w:w="1077"/>
      </w:tblGrid>
      <w:tr>
        <w:tc>
          <w:tcPr>
            <w:tcW w:w="624" w:type="dxa"/>
            <w:vMerge w:val="restart"/>
          </w:tcPr>
          <w:p>
            <w:pPr>
              <w:pStyle w:val="0"/>
              <w:jc w:val="center"/>
            </w:pPr>
            <w:r>
              <w:rPr>
                <w:sz w:val="20"/>
              </w:rPr>
              <w:t xml:space="preserve">N</w:t>
            </w:r>
          </w:p>
          <w:p>
            <w:pPr>
              <w:pStyle w:val="0"/>
              <w:jc w:val="center"/>
            </w:pPr>
            <w:r>
              <w:rPr>
                <w:sz w:val="20"/>
              </w:rPr>
              <w:t xml:space="preserve">п/п</w:t>
            </w:r>
          </w:p>
        </w:tc>
        <w:tc>
          <w:tcPr>
            <w:tcW w:w="2608" w:type="dxa"/>
            <w:vMerge w:val="restart"/>
          </w:tcPr>
          <w:p>
            <w:pPr>
              <w:pStyle w:val="0"/>
              <w:jc w:val="center"/>
            </w:pPr>
            <w:r>
              <w:rPr>
                <w:sz w:val="20"/>
              </w:rPr>
              <w:t xml:space="preserve">Направление софинансирования (мероприятие)</w:t>
            </w:r>
          </w:p>
        </w:tc>
        <w:tc>
          <w:tcPr>
            <w:tcW w:w="1644" w:type="dxa"/>
            <w:vMerge w:val="restart"/>
          </w:tcPr>
          <w:p>
            <w:pPr>
              <w:pStyle w:val="0"/>
              <w:jc w:val="center"/>
            </w:pPr>
            <w:r>
              <w:rPr>
                <w:sz w:val="20"/>
              </w:rPr>
              <w:t xml:space="preserve">Наименование государственной программы</w:t>
            </w:r>
          </w:p>
        </w:tc>
        <w:tc>
          <w:tcPr>
            <w:tcW w:w="1247" w:type="dxa"/>
            <w:vMerge w:val="restart"/>
          </w:tcPr>
          <w:p>
            <w:pPr>
              <w:pStyle w:val="0"/>
              <w:jc w:val="center"/>
            </w:pPr>
            <w:r>
              <w:rPr>
                <w:sz w:val="20"/>
              </w:rPr>
              <w:t xml:space="preserve">Главный распорядитель бюджетных средств</w:t>
            </w:r>
          </w:p>
        </w:tc>
        <w:tc>
          <w:tcPr>
            <w:tcW w:w="3515" w:type="dxa"/>
            <w:vMerge w:val="restart"/>
          </w:tcPr>
          <w:p>
            <w:pPr>
              <w:pStyle w:val="0"/>
              <w:jc w:val="center"/>
            </w:pPr>
            <w:r>
              <w:rPr>
                <w:sz w:val="20"/>
              </w:rPr>
              <w:t xml:space="preserve">Целевой показатель результативности предоставления субсидии</w:t>
            </w:r>
          </w:p>
        </w:tc>
        <w:tc>
          <w:tcPr>
            <w:tcW w:w="737" w:type="dxa"/>
            <w:vMerge w:val="restart"/>
          </w:tcPr>
          <w:p>
            <w:pPr>
              <w:pStyle w:val="0"/>
              <w:jc w:val="center"/>
            </w:pPr>
            <w:r>
              <w:rPr>
                <w:sz w:val="20"/>
              </w:rPr>
              <w:t xml:space="preserve">Единица измерения</w:t>
            </w:r>
          </w:p>
        </w:tc>
        <w:tc>
          <w:tcPr>
            <w:gridSpan w:val="3"/>
            <w:tcW w:w="3231" w:type="dxa"/>
          </w:tcPr>
          <w:p>
            <w:pPr>
              <w:pStyle w:val="0"/>
              <w:jc w:val="center"/>
            </w:pPr>
            <w:r>
              <w:rPr>
                <w:sz w:val="20"/>
              </w:rPr>
              <w:t xml:space="preserve">Значение показателя</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077" w:type="dxa"/>
          </w:tcPr>
          <w:p>
            <w:pPr>
              <w:pStyle w:val="0"/>
              <w:jc w:val="center"/>
            </w:pPr>
            <w:r>
              <w:rPr>
                <w:sz w:val="20"/>
              </w:rPr>
              <w:t xml:space="preserve">2022</w:t>
            </w:r>
          </w:p>
        </w:tc>
        <w:tc>
          <w:tcPr>
            <w:tcW w:w="1077" w:type="dxa"/>
          </w:tcPr>
          <w:p>
            <w:pPr>
              <w:pStyle w:val="0"/>
              <w:jc w:val="center"/>
            </w:pPr>
            <w:r>
              <w:rPr>
                <w:sz w:val="20"/>
              </w:rPr>
              <w:t xml:space="preserve">2023</w:t>
            </w:r>
          </w:p>
        </w:tc>
        <w:tc>
          <w:tcPr>
            <w:tcW w:w="1077" w:type="dxa"/>
          </w:tcPr>
          <w:p>
            <w:pPr>
              <w:pStyle w:val="0"/>
              <w:jc w:val="center"/>
            </w:pPr>
            <w:r>
              <w:rPr>
                <w:sz w:val="20"/>
              </w:rPr>
              <w:t xml:space="preserve">2024</w:t>
            </w:r>
          </w:p>
        </w:tc>
      </w:tr>
      <w:tr>
        <w:tc>
          <w:tcPr>
            <w:tcW w:w="624" w:type="dxa"/>
          </w:tcPr>
          <w:p>
            <w:pPr>
              <w:pStyle w:val="0"/>
              <w:jc w:val="center"/>
            </w:pPr>
            <w:r>
              <w:rPr>
                <w:sz w:val="20"/>
              </w:rPr>
              <w:t xml:space="preserve">1</w:t>
            </w:r>
          </w:p>
        </w:tc>
        <w:tc>
          <w:tcPr>
            <w:tcW w:w="2608" w:type="dxa"/>
          </w:tcPr>
          <w:p>
            <w:pPr>
              <w:pStyle w:val="0"/>
              <w:jc w:val="center"/>
            </w:pPr>
            <w:r>
              <w:rPr>
                <w:sz w:val="20"/>
              </w:rPr>
              <w:t xml:space="preserve">2</w:t>
            </w:r>
          </w:p>
        </w:tc>
        <w:tc>
          <w:tcPr>
            <w:tcW w:w="1644" w:type="dxa"/>
          </w:tcPr>
          <w:p>
            <w:pPr>
              <w:pStyle w:val="0"/>
              <w:jc w:val="center"/>
            </w:pPr>
            <w:r>
              <w:rPr>
                <w:sz w:val="20"/>
              </w:rPr>
              <w:t xml:space="preserve">3</w:t>
            </w:r>
          </w:p>
        </w:tc>
        <w:tc>
          <w:tcPr>
            <w:tcW w:w="1247" w:type="dxa"/>
          </w:tcPr>
          <w:p>
            <w:pPr>
              <w:pStyle w:val="0"/>
              <w:jc w:val="center"/>
            </w:pPr>
            <w:r>
              <w:rPr>
                <w:sz w:val="20"/>
              </w:rPr>
              <w:t xml:space="preserve">4</w:t>
            </w:r>
          </w:p>
        </w:tc>
        <w:tc>
          <w:tcPr>
            <w:tcW w:w="3515" w:type="dxa"/>
          </w:tcPr>
          <w:p>
            <w:pPr>
              <w:pStyle w:val="0"/>
              <w:jc w:val="center"/>
            </w:pPr>
            <w:r>
              <w:rPr>
                <w:sz w:val="20"/>
              </w:rPr>
              <w:t xml:space="preserve">5</w:t>
            </w:r>
          </w:p>
        </w:tc>
        <w:tc>
          <w:tcPr>
            <w:tcW w:w="737" w:type="dxa"/>
          </w:tcPr>
          <w:p>
            <w:pPr>
              <w:pStyle w:val="0"/>
              <w:jc w:val="center"/>
            </w:pPr>
            <w:r>
              <w:rPr>
                <w:sz w:val="20"/>
              </w:rPr>
              <w:t xml:space="preserve">6</w:t>
            </w:r>
          </w:p>
        </w:tc>
        <w:tc>
          <w:tcPr>
            <w:tcW w:w="1077" w:type="dxa"/>
          </w:tcPr>
          <w:p>
            <w:pPr>
              <w:pStyle w:val="0"/>
              <w:jc w:val="center"/>
            </w:pPr>
            <w:r>
              <w:rPr>
                <w:sz w:val="20"/>
              </w:rPr>
              <w:t xml:space="preserve">7</w:t>
            </w:r>
          </w:p>
        </w:tc>
        <w:tc>
          <w:tcPr>
            <w:tcW w:w="1077" w:type="dxa"/>
          </w:tcPr>
          <w:p>
            <w:pPr>
              <w:pStyle w:val="0"/>
              <w:jc w:val="center"/>
            </w:pPr>
            <w:r>
              <w:rPr>
                <w:sz w:val="20"/>
              </w:rPr>
              <w:t xml:space="preserve">8</w:t>
            </w:r>
          </w:p>
        </w:tc>
        <w:tc>
          <w:tcPr>
            <w:tcW w:w="1077" w:type="dxa"/>
          </w:tcPr>
          <w:p>
            <w:pPr>
              <w:pStyle w:val="0"/>
              <w:jc w:val="center"/>
            </w:pPr>
            <w:r>
              <w:rPr>
                <w:sz w:val="20"/>
              </w:rPr>
              <w:t xml:space="preserve">9</w:t>
            </w:r>
          </w:p>
        </w:tc>
      </w:tr>
      <w:tr>
        <w:tc>
          <w:tcPr>
            <w:tcW w:w="624" w:type="dxa"/>
            <w:vMerge w:val="restart"/>
          </w:tcPr>
          <w:p>
            <w:pPr>
              <w:pStyle w:val="0"/>
              <w:jc w:val="center"/>
            </w:pPr>
            <w:r>
              <w:rPr>
                <w:sz w:val="20"/>
              </w:rPr>
              <w:t xml:space="preserve">1.</w:t>
            </w:r>
          </w:p>
        </w:tc>
        <w:tc>
          <w:tcPr>
            <w:tcW w:w="2608" w:type="dxa"/>
            <w:vMerge w:val="restart"/>
          </w:tcPr>
          <w:p>
            <w:pPr>
              <w:pStyle w:val="0"/>
            </w:pPr>
            <w:r>
              <w:rPr>
                <w:sz w:val="20"/>
              </w:rPr>
              <w:t xml:space="preserve">Оснащение медицинского блока отделений организации медицинской помощи несовершеннолетним, обучающимся в образовательных организациях (дошкольных образовательных и общеобразовательных организациях области), реализующих основные общеобразовательные программы</w:t>
            </w:r>
          </w:p>
        </w:tc>
        <w:tc>
          <w:tcPr>
            <w:tcW w:w="1644" w:type="dxa"/>
            <w:vMerge w:val="restart"/>
          </w:tcPr>
          <w:p>
            <w:pPr>
              <w:pStyle w:val="0"/>
            </w:pPr>
            <w:r>
              <w:rPr>
                <w:sz w:val="20"/>
              </w:rPr>
              <w:t xml:space="preserve">Государственная программа "Развитие здравоохранения Владимирской области"</w:t>
            </w:r>
          </w:p>
        </w:tc>
        <w:tc>
          <w:tcPr>
            <w:tcW w:w="1247" w:type="dxa"/>
            <w:vMerge w:val="restart"/>
          </w:tcPr>
          <w:p>
            <w:pPr>
              <w:pStyle w:val="0"/>
            </w:pPr>
            <w:r>
              <w:rPr>
                <w:sz w:val="20"/>
              </w:rPr>
              <w:t xml:space="preserve">Департамент здравоохранения Владимирской области</w:t>
            </w:r>
          </w:p>
        </w:tc>
        <w:tc>
          <w:tcPr>
            <w:tcW w:w="3515" w:type="dxa"/>
          </w:tcPr>
          <w:p>
            <w:pPr>
              <w:pStyle w:val="0"/>
            </w:pPr>
            <w:r>
              <w:rPr>
                <w:sz w:val="20"/>
              </w:rPr>
              <w:t xml:space="preserve">Количество медицинских блоков отделений организации медицинской помощи несовершеннолетним в образовательных организациях, получивших лицензии в текущем отчетном периоде</w:t>
            </w:r>
          </w:p>
        </w:tc>
        <w:tc>
          <w:tcPr>
            <w:tcW w:w="737" w:type="dxa"/>
          </w:tcPr>
          <w:p>
            <w:pPr>
              <w:pStyle w:val="0"/>
            </w:pPr>
            <w:r>
              <w:rPr>
                <w:sz w:val="20"/>
              </w:rPr>
              <w:t xml:space="preserve">штуки</w:t>
            </w:r>
          </w:p>
        </w:tc>
        <w:tc>
          <w:tcPr>
            <w:tcW w:w="1077" w:type="dxa"/>
          </w:tcPr>
          <w:p>
            <w:pPr>
              <w:pStyle w:val="0"/>
              <w:jc w:val="center"/>
            </w:pPr>
            <w:r>
              <w:rPr>
                <w:sz w:val="20"/>
              </w:rPr>
              <w:t xml:space="preserve">-</w:t>
            </w:r>
          </w:p>
        </w:tc>
        <w:tc>
          <w:tcPr>
            <w:tcW w:w="1077" w:type="dxa"/>
          </w:tcPr>
          <w:p>
            <w:pPr>
              <w:pStyle w:val="0"/>
              <w:jc w:val="center"/>
            </w:pPr>
            <w:r>
              <w:rPr>
                <w:sz w:val="20"/>
              </w:rPr>
              <w:t xml:space="preserve">-</w:t>
            </w:r>
          </w:p>
        </w:tc>
        <w:tc>
          <w:tcPr>
            <w:tcW w:w="1077" w:type="dxa"/>
          </w:tcPr>
          <w:p>
            <w:pPr>
              <w:pStyle w:val="0"/>
              <w:jc w:val="center"/>
            </w:pPr>
            <w:r>
              <w:rPr>
                <w:sz w:val="20"/>
              </w:rPr>
              <w:t xml:space="preserve">-</w:t>
            </w:r>
          </w:p>
        </w:tc>
      </w:tr>
      <w:tr>
        <w:tc>
          <w:tcPr>
            <w:vMerge w:val="continue"/>
          </w:tcPr>
          <w:p/>
        </w:tc>
        <w:tc>
          <w:tcPr>
            <w:vMerge w:val="continue"/>
          </w:tcPr>
          <w:p/>
        </w:tc>
        <w:tc>
          <w:tcPr>
            <w:vMerge w:val="continue"/>
          </w:tcPr>
          <w:p/>
        </w:tc>
        <w:tc>
          <w:tcPr>
            <w:vMerge w:val="continue"/>
          </w:tcPr>
          <w:p/>
        </w:tc>
        <w:tc>
          <w:tcPr>
            <w:tcW w:w="3515" w:type="dxa"/>
          </w:tcPr>
          <w:p>
            <w:pPr>
              <w:pStyle w:val="0"/>
            </w:pPr>
            <w:r>
              <w:rPr>
                <w:sz w:val="20"/>
              </w:rPr>
              <w:t xml:space="preserve">Количество переданных в безвозмездное пользование медицинским организациям государственной системы здравоохранения Владимирской области медицинских кабинетов, оборудованных:</w:t>
            </w:r>
          </w:p>
          <w:p>
            <w:pPr>
              <w:pStyle w:val="0"/>
            </w:pPr>
            <w:r>
              <w:rPr>
                <w:sz w:val="20"/>
              </w:rPr>
              <w:t xml:space="preserve">- в дошкольных учреждениях - в соответствии с требованиями </w:t>
            </w:r>
            <w:hyperlink w:history="0" r:id="rId82" w:tooltip="Приказ Минздрава России от 05.11.2013 N 822н (ред. от 21.02.2020) &quot;Об утверждении Порядка оказания медицинской помощи несовершеннолетним, в том числе в период обучения и воспитания в образовательных организациях&quot; (Зарегистрировано в Минюсте России 17.01.2014 N 31045) {КонсультантПлюс}">
              <w:r>
                <w:rPr>
                  <w:sz w:val="20"/>
                  <w:color w:val="0000ff"/>
                </w:rPr>
                <w:t xml:space="preserve">приказа</w:t>
              </w:r>
            </w:hyperlink>
            <w:r>
              <w:rPr>
                <w:sz w:val="20"/>
              </w:rPr>
              <w:t xml:space="preserve"> Министерства здравоохранения Российской Федерации от 05.11.2013 N 822н "Об утверждении Порядка оказания медицинской помощи несовершеннолетним, в том числе в период обучения и воспитания в образовательных организациях" и соответствующих требований </w:t>
            </w:r>
            <w:hyperlink w:history="0" r:id="rId83" w:tooltip="Постановление Главного государственного санитарного врача РФ от 24.12.2020 N 44 (ред. от 14.04.2022) &quot;Об утверждении санитарных правил СП 2.1.3678-20 &quot;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quot; (Зарегистрировано в Минюсте России 30.12.2020 N 61953) {КонсультантПлюс}">
              <w:r>
                <w:rPr>
                  <w:sz w:val="20"/>
                  <w:color w:val="0000ff"/>
                </w:rPr>
                <w:t xml:space="preserve">СанПиН 2.1.3678-20</w:t>
              </w:r>
            </w:hyperlink>
            <w:r>
              <w:rPr>
                <w:sz w:val="20"/>
              </w:rPr>
              <w:t xml:space="preserve">, утвержденных постановлением Главного государственного санитарного врача Российской Федерации от 24.12.2020 N 44, </w:t>
            </w:r>
            <w:hyperlink w:history="0" r:id="rId84"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СанПиН 2.4.3648-20</w:t>
              </w:r>
            </w:hyperlink>
            <w:r>
              <w:rPr>
                <w:sz w:val="20"/>
              </w:rPr>
              <w:t xml:space="preserve">, утвержденных постановлением Главного государственного санитарного врача Российской Федерации от 28.09.2020 N 28;</w:t>
            </w:r>
          </w:p>
          <w:p>
            <w:pPr>
              <w:pStyle w:val="0"/>
            </w:pPr>
            <w:r>
              <w:rPr>
                <w:sz w:val="20"/>
              </w:rPr>
              <w:t xml:space="preserve">- в образовательных организациях - в соответствии с требованиями </w:t>
            </w:r>
            <w:hyperlink w:history="0" r:id="rId85" w:tooltip="Постановление Главного государственного санитарного врача РФ от 24.12.2020 N 44 (ред. от 14.04.2022) &quot;Об утверждении санитарных правил СП 2.1.3678-20 &quot;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quot; (Зарегистрировано в Минюсте России 30.12.2020 N 61953) {КонсультантПлюс}">
              <w:r>
                <w:rPr>
                  <w:sz w:val="20"/>
                  <w:color w:val="0000ff"/>
                </w:rPr>
                <w:t xml:space="preserve">СанПиН 2.1.3678-20</w:t>
              </w:r>
            </w:hyperlink>
            <w:r>
              <w:rPr>
                <w:sz w:val="20"/>
              </w:rPr>
              <w:t xml:space="preserve">, утвержденных постановлением Главного государственного санитарного врача Российской Федерации от 24.12.2020 N 44, </w:t>
            </w:r>
            <w:hyperlink w:history="0" r:id="rId86"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СанПиН 2.4.3648-20</w:t>
              </w:r>
            </w:hyperlink>
            <w:r>
              <w:rPr>
                <w:sz w:val="20"/>
              </w:rPr>
              <w:t xml:space="preserve">, утвержденных постановлением Главного государственного санитарного врача Российской Федерации от 28.09.2020 N 28</w:t>
            </w:r>
          </w:p>
        </w:tc>
        <w:tc>
          <w:tcPr>
            <w:tcW w:w="737" w:type="dxa"/>
          </w:tcPr>
          <w:p>
            <w:pPr>
              <w:pStyle w:val="0"/>
            </w:pPr>
            <w:r>
              <w:rPr>
                <w:sz w:val="20"/>
              </w:rPr>
              <w:t xml:space="preserve">штуки</w:t>
            </w:r>
          </w:p>
        </w:tc>
        <w:tc>
          <w:tcPr>
            <w:tcW w:w="1077" w:type="dxa"/>
          </w:tcPr>
          <w:p>
            <w:pPr>
              <w:pStyle w:val="0"/>
              <w:jc w:val="center"/>
            </w:pPr>
            <w:r>
              <w:rPr>
                <w:sz w:val="20"/>
              </w:rPr>
              <w:t xml:space="preserve">13</w:t>
            </w:r>
          </w:p>
        </w:tc>
        <w:tc>
          <w:tcPr>
            <w:tcW w:w="1077" w:type="dxa"/>
          </w:tcPr>
          <w:p>
            <w:pPr>
              <w:pStyle w:val="0"/>
              <w:jc w:val="center"/>
            </w:pPr>
            <w:r>
              <w:rPr>
                <w:sz w:val="20"/>
              </w:rPr>
              <w:t xml:space="preserve">6</w:t>
            </w:r>
          </w:p>
        </w:tc>
        <w:tc>
          <w:tcPr>
            <w:tcW w:w="1077" w:type="dxa"/>
          </w:tcPr>
          <w:p>
            <w:pPr>
              <w:pStyle w:val="0"/>
              <w:jc w:val="center"/>
            </w:pPr>
            <w:r>
              <w:rPr>
                <w:sz w:val="20"/>
              </w:rPr>
              <w:t xml:space="preserve">6</w:t>
            </w:r>
          </w:p>
        </w:tc>
      </w:tr>
      <w:tr>
        <w:tc>
          <w:tcPr>
            <w:tcW w:w="624" w:type="dxa"/>
          </w:tcPr>
          <w:p>
            <w:pPr>
              <w:pStyle w:val="0"/>
              <w:jc w:val="center"/>
            </w:pPr>
            <w:r>
              <w:rPr>
                <w:sz w:val="20"/>
              </w:rPr>
              <w:t xml:space="preserve">2.</w:t>
            </w:r>
          </w:p>
        </w:tc>
        <w:tc>
          <w:tcPr>
            <w:tcW w:w="2608" w:type="dxa"/>
          </w:tcPr>
          <w:p>
            <w:pPr>
              <w:pStyle w:val="0"/>
            </w:pPr>
            <w:r>
              <w:rPr>
                <w:sz w:val="20"/>
              </w:rPr>
              <w:t xml:space="preserve">Поддержка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 в рамках подпрограммы "Искусство"</w:t>
            </w:r>
          </w:p>
        </w:tc>
        <w:tc>
          <w:tcPr>
            <w:tcW w:w="1644" w:type="dxa"/>
          </w:tcPr>
          <w:p>
            <w:pPr>
              <w:pStyle w:val="0"/>
            </w:pPr>
            <w:r>
              <w:rPr>
                <w:sz w:val="20"/>
              </w:rPr>
              <w:t xml:space="preserve">Государственная программа Владимирской области "Развитие культуры"</w:t>
            </w:r>
          </w:p>
        </w:tc>
        <w:tc>
          <w:tcPr>
            <w:tcW w:w="1247" w:type="dxa"/>
          </w:tcPr>
          <w:p>
            <w:pPr>
              <w:pStyle w:val="0"/>
            </w:pPr>
            <w:r>
              <w:rPr>
                <w:sz w:val="20"/>
              </w:rPr>
              <w:t xml:space="preserve">Департамент культуры Владимирской области</w:t>
            </w:r>
          </w:p>
        </w:tc>
        <w:tc>
          <w:tcPr>
            <w:tcW w:w="3515" w:type="dxa"/>
          </w:tcPr>
          <w:p>
            <w:pPr>
              <w:pStyle w:val="0"/>
            </w:pPr>
            <w:r>
              <w:rPr>
                <w:sz w:val="20"/>
              </w:rPr>
              <w:t xml:space="preserve">Количество посещений организаций культуры (профессиональных театров) по отношению к уровню 2010 года</w:t>
            </w:r>
          </w:p>
        </w:tc>
        <w:tc>
          <w:tcPr>
            <w:tcW w:w="737" w:type="dxa"/>
          </w:tcPr>
          <w:p>
            <w:pPr>
              <w:pStyle w:val="0"/>
            </w:pPr>
            <w:r>
              <w:rPr>
                <w:sz w:val="20"/>
              </w:rPr>
              <w:t xml:space="preserve">%</w:t>
            </w:r>
          </w:p>
        </w:tc>
        <w:tc>
          <w:tcPr>
            <w:tcW w:w="1077" w:type="dxa"/>
          </w:tcPr>
          <w:p>
            <w:pPr>
              <w:pStyle w:val="0"/>
              <w:jc w:val="center"/>
            </w:pPr>
            <w:r>
              <w:rPr>
                <w:sz w:val="20"/>
              </w:rPr>
              <w:t xml:space="preserve">118</w:t>
            </w:r>
          </w:p>
        </w:tc>
        <w:tc>
          <w:tcPr>
            <w:tcW w:w="1077" w:type="dxa"/>
          </w:tcPr>
          <w:p>
            <w:pPr>
              <w:pStyle w:val="0"/>
              <w:jc w:val="center"/>
            </w:pPr>
            <w:r>
              <w:rPr>
                <w:sz w:val="20"/>
              </w:rPr>
              <w:t xml:space="preserve">119</w:t>
            </w:r>
          </w:p>
        </w:tc>
        <w:tc>
          <w:tcPr>
            <w:tcW w:w="1077" w:type="dxa"/>
          </w:tcPr>
          <w:p>
            <w:pPr>
              <w:pStyle w:val="0"/>
              <w:jc w:val="center"/>
            </w:pPr>
            <w:r>
              <w:rPr>
                <w:sz w:val="20"/>
              </w:rPr>
              <w:t xml:space="preserve">119</w:t>
            </w:r>
          </w:p>
        </w:tc>
      </w:tr>
      <w:tr>
        <w:tc>
          <w:tcPr>
            <w:tcW w:w="624" w:type="dxa"/>
            <w:vMerge w:val="restart"/>
          </w:tcPr>
          <w:p>
            <w:pPr>
              <w:pStyle w:val="0"/>
              <w:jc w:val="center"/>
            </w:pPr>
            <w:r>
              <w:rPr>
                <w:sz w:val="20"/>
              </w:rPr>
              <w:t xml:space="preserve">3.</w:t>
            </w:r>
          </w:p>
        </w:tc>
        <w:tc>
          <w:tcPr>
            <w:tcW w:w="2608" w:type="dxa"/>
            <w:vMerge w:val="restart"/>
          </w:tcPr>
          <w:p>
            <w:pPr>
              <w:pStyle w:val="0"/>
            </w:pPr>
            <w:r>
              <w:rPr>
                <w:sz w:val="20"/>
              </w:rPr>
              <w:t xml:space="preserve">Повышение оплаты труда работников учреждений культуры и педагогических работников дополнительного образования детей сферы культуры в соответствии с Указами Президента Российской Федерации от 07 мая 2012 года </w:t>
            </w:r>
            <w:hyperlink w:history="0" r:id="rId87" w:tooltip="Указ Президента РФ от 07.05.2012 N 597 &quot;О мероприятиях по реализации государственной социальной политики&quot; {КонсультантПлюс}">
              <w:r>
                <w:rPr>
                  <w:sz w:val="20"/>
                  <w:color w:val="0000ff"/>
                </w:rPr>
                <w:t xml:space="preserve">N 597</w:t>
              </w:r>
            </w:hyperlink>
            <w:r>
              <w:rPr>
                <w:sz w:val="20"/>
              </w:rPr>
              <w:t xml:space="preserve">, от 01.06.2012 </w:t>
            </w:r>
            <w:hyperlink w:history="0" r:id="rId88" w:tooltip="Указ Президента РФ от 01.06.2012 N 761 &quot;О Национальной стратегии действий в интересах детей на 2012 - 2017 годы&quot; {КонсультантПлюс}">
              <w:r>
                <w:rPr>
                  <w:sz w:val="20"/>
                  <w:color w:val="0000ff"/>
                </w:rPr>
                <w:t xml:space="preserve">N 761</w:t>
              </w:r>
            </w:hyperlink>
            <w:r>
              <w:rPr>
                <w:sz w:val="20"/>
              </w:rPr>
              <w:t xml:space="preserve"> в рамках подпрограммы "Обеспечение условий реализации Программы" государственной программы Владимирской области "Развитие культуры"</w:t>
            </w:r>
          </w:p>
        </w:tc>
        <w:tc>
          <w:tcPr>
            <w:tcW w:w="1644" w:type="dxa"/>
            <w:vMerge w:val="restart"/>
          </w:tcPr>
          <w:p>
            <w:pPr>
              <w:pStyle w:val="0"/>
            </w:pPr>
            <w:r>
              <w:rPr>
                <w:sz w:val="20"/>
              </w:rPr>
              <w:t xml:space="preserve">Государственная программа Владимирской области "Развитие культуры"</w:t>
            </w:r>
          </w:p>
        </w:tc>
        <w:tc>
          <w:tcPr>
            <w:tcW w:w="1247" w:type="dxa"/>
            <w:vMerge w:val="restart"/>
          </w:tcPr>
          <w:p>
            <w:pPr>
              <w:pStyle w:val="0"/>
            </w:pPr>
            <w:r>
              <w:rPr>
                <w:sz w:val="20"/>
              </w:rPr>
              <w:t xml:space="preserve">Департамент культуры Владимирской области</w:t>
            </w:r>
          </w:p>
        </w:tc>
        <w:tc>
          <w:tcPr>
            <w:tcW w:w="3515" w:type="dxa"/>
          </w:tcPr>
          <w:p>
            <w:pPr>
              <w:pStyle w:val="0"/>
            </w:pPr>
            <w:r>
              <w:rPr>
                <w:sz w:val="20"/>
              </w:rPr>
              <w:t xml:space="preserve">Соотношение средней заработной платы работников муниципальных учреждений культуры к средней заработной плате во Владимирской области</w:t>
            </w:r>
          </w:p>
        </w:tc>
        <w:tc>
          <w:tcPr>
            <w:tcW w:w="737" w:type="dxa"/>
          </w:tcPr>
          <w:p>
            <w:pPr>
              <w:pStyle w:val="0"/>
            </w:pPr>
            <w:r>
              <w:rPr>
                <w:sz w:val="20"/>
              </w:rPr>
              <w:t xml:space="preserve">%</w:t>
            </w:r>
          </w:p>
        </w:tc>
        <w:tc>
          <w:tcPr>
            <w:tcW w:w="1077" w:type="dxa"/>
          </w:tcPr>
          <w:p>
            <w:pPr>
              <w:pStyle w:val="0"/>
              <w:jc w:val="center"/>
            </w:pPr>
            <w:r>
              <w:rPr>
                <w:sz w:val="20"/>
              </w:rPr>
              <w:t xml:space="preserve">100,0</w:t>
            </w:r>
          </w:p>
        </w:tc>
        <w:tc>
          <w:tcPr>
            <w:tcW w:w="1077" w:type="dxa"/>
          </w:tcPr>
          <w:p>
            <w:pPr>
              <w:pStyle w:val="0"/>
              <w:jc w:val="center"/>
            </w:pPr>
            <w:r>
              <w:rPr>
                <w:sz w:val="20"/>
              </w:rPr>
              <w:t xml:space="preserve">100,0</w:t>
            </w:r>
          </w:p>
        </w:tc>
        <w:tc>
          <w:tcPr>
            <w:tcW w:w="1077" w:type="dxa"/>
          </w:tcPr>
          <w:p>
            <w:pPr>
              <w:pStyle w:val="0"/>
              <w:jc w:val="center"/>
            </w:pPr>
            <w:r>
              <w:rPr>
                <w:sz w:val="20"/>
              </w:rPr>
              <w:t xml:space="preserve">100,0</w:t>
            </w:r>
          </w:p>
        </w:tc>
      </w:tr>
      <w:tr>
        <w:tc>
          <w:tcPr>
            <w:vMerge w:val="continue"/>
          </w:tcPr>
          <w:p/>
        </w:tc>
        <w:tc>
          <w:tcPr>
            <w:vMerge w:val="continue"/>
          </w:tcPr>
          <w:p/>
        </w:tc>
        <w:tc>
          <w:tcPr>
            <w:vMerge w:val="continue"/>
          </w:tcPr>
          <w:p/>
        </w:tc>
        <w:tc>
          <w:tcPr>
            <w:vMerge w:val="continue"/>
          </w:tcPr>
          <w:p/>
        </w:tc>
        <w:tc>
          <w:tcPr>
            <w:tcW w:w="3515" w:type="dxa"/>
          </w:tcPr>
          <w:p>
            <w:pPr>
              <w:pStyle w:val="0"/>
            </w:pPr>
            <w:r>
              <w:rPr>
                <w:sz w:val="20"/>
              </w:rPr>
              <w:t xml:space="preserve">Соотношение средней заработной платы педагогических работников муниципальных учреждений дополнительного образования детей сферы культуры к средней заработной плате учителей во Владимирской области</w:t>
            </w:r>
          </w:p>
        </w:tc>
        <w:tc>
          <w:tcPr>
            <w:tcW w:w="737" w:type="dxa"/>
          </w:tcPr>
          <w:p>
            <w:pPr>
              <w:pStyle w:val="0"/>
            </w:pPr>
            <w:r>
              <w:rPr>
                <w:sz w:val="20"/>
              </w:rPr>
              <w:t xml:space="preserve">%</w:t>
            </w:r>
          </w:p>
        </w:tc>
        <w:tc>
          <w:tcPr>
            <w:tcW w:w="1077" w:type="dxa"/>
          </w:tcPr>
          <w:p>
            <w:pPr>
              <w:pStyle w:val="0"/>
              <w:jc w:val="center"/>
            </w:pPr>
            <w:r>
              <w:rPr>
                <w:sz w:val="20"/>
              </w:rPr>
              <w:t xml:space="preserve">100,0</w:t>
            </w:r>
          </w:p>
        </w:tc>
        <w:tc>
          <w:tcPr>
            <w:tcW w:w="1077" w:type="dxa"/>
          </w:tcPr>
          <w:p>
            <w:pPr>
              <w:pStyle w:val="0"/>
              <w:jc w:val="center"/>
            </w:pPr>
            <w:r>
              <w:rPr>
                <w:sz w:val="20"/>
              </w:rPr>
              <w:t xml:space="preserve">100,0</w:t>
            </w:r>
          </w:p>
        </w:tc>
        <w:tc>
          <w:tcPr>
            <w:tcW w:w="1077" w:type="dxa"/>
          </w:tcPr>
          <w:p>
            <w:pPr>
              <w:pStyle w:val="0"/>
              <w:jc w:val="center"/>
            </w:pPr>
            <w:r>
              <w:rPr>
                <w:sz w:val="20"/>
              </w:rPr>
              <w:t xml:space="preserve">100,0</w:t>
            </w:r>
          </w:p>
        </w:tc>
      </w:tr>
      <w:tr>
        <w:tc>
          <w:tcPr>
            <w:tcW w:w="624" w:type="dxa"/>
          </w:tcPr>
          <w:p>
            <w:pPr>
              <w:pStyle w:val="0"/>
              <w:jc w:val="center"/>
            </w:pPr>
            <w:r>
              <w:rPr>
                <w:sz w:val="20"/>
              </w:rPr>
              <w:t xml:space="preserve">4.</w:t>
            </w:r>
          </w:p>
        </w:tc>
        <w:tc>
          <w:tcPr>
            <w:tcW w:w="2608" w:type="dxa"/>
          </w:tcPr>
          <w:p>
            <w:pPr>
              <w:pStyle w:val="0"/>
            </w:pPr>
            <w:r>
              <w:rPr>
                <w:sz w:val="20"/>
              </w:rPr>
              <w:t xml:space="preserve">Государственная поддержка отрасли культуры на поддержку лучших работников сельских учреждений культуры в рамках подпрограммы "Обеспечение условий реализации Программы" государственной программы Владимирской области "Развитие культуры"</w:t>
            </w:r>
          </w:p>
        </w:tc>
        <w:tc>
          <w:tcPr>
            <w:tcW w:w="1644" w:type="dxa"/>
          </w:tcPr>
          <w:p>
            <w:pPr>
              <w:pStyle w:val="0"/>
            </w:pPr>
            <w:r>
              <w:rPr>
                <w:sz w:val="20"/>
              </w:rPr>
              <w:t xml:space="preserve">Государственная программа Владимирской области "Развитие культуры"</w:t>
            </w:r>
          </w:p>
        </w:tc>
        <w:tc>
          <w:tcPr>
            <w:tcW w:w="1247" w:type="dxa"/>
          </w:tcPr>
          <w:p>
            <w:pPr>
              <w:pStyle w:val="0"/>
            </w:pPr>
            <w:r>
              <w:rPr>
                <w:sz w:val="20"/>
              </w:rPr>
              <w:t xml:space="preserve">Департамент культуры Владимирской области</w:t>
            </w:r>
          </w:p>
        </w:tc>
        <w:tc>
          <w:tcPr>
            <w:tcW w:w="3515" w:type="dxa"/>
          </w:tcPr>
          <w:p>
            <w:pPr>
              <w:pStyle w:val="0"/>
            </w:pPr>
            <w:r>
              <w:rPr>
                <w:sz w:val="20"/>
              </w:rPr>
              <w:t xml:space="preserve">Количество лучших работников сельских учреждений культуры, которым оказана государственная поддержка</w:t>
            </w:r>
          </w:p>
        </w:tc>
        <w:tc>
          <w:tcPr>
            <w:tcW w:w="737" w:type="dxa"/>
          </w:tcPr>
          <w:p>
            <w:pPr>
              <w:pStyle w:val="0"/>
            </w:pPr>
            <w:r>
              <w:rPr>
                <w:sz w:val="20"/>
              </w:rPr>
              <w:t xml:space="preserve">ед.</w:t>
            </w:r>
          </w:p>
        </w:tc>
        <w:tc>
          <w:tcPr>
            <w:tcW w:w="1077" w:type="dxa"/>
          </w:tcPr>
          <w:p>
            <w:pPr>
              <w:pStyle w:val="0"/>
              <w:jc w:val="center"/>
            </w:pPr>
            <w:r>
              <w:rPr>
                <w:sz w:val="20"/>
              </w:rPr>
              <w:t xml:space="preserve">9</w:t>
            </w:r>
          </w:p>
        </w:tc>
        <w:tc>
          <w:tcPr>
            <w:tcW w:w="1077" w:type="dxa"/>
          </w:tcPr>
          <w:p>
            <w:pPr>
              <w:pStyle w:val="0"/>
              <w:jc w:val="center"/>
            </w:pPr>
            <w:r>
              <w:rPr>
                <w:sz w:val="20"/>
              </w:rPr>
              <w:t xml:space="preserve">9</w:t>
            </w:r>
          </w:p>
        </w:tc>
        <w:tc>
          <w:tcPr>
            <w:tcW w:w="1077" w:type="dxa"/>
          </w:tcPr>
          <w:p>
            <w:pPr>
              <w:pStyle w:val="0"/>
              <w:jc w:val="center"/>
            </w:pPr>
            <w:r>
              <w:rPr>
                <w:sz w:val="20"/>
              </w:rPr>
              <w:t xml:space="preserve">9</w:t>
            </w:r>
          </w:p>
        </w:tc>
      </w:tr>
      <w:tr>
        <w:tc>
          <w:tcPr>
            <w:tcW w:w="624" w:type="dxa"/>
          </w:tcPr>
          <w:p>
            <w:pPr>
              <w:pStyle w:val="0"/>
              <w:jc w:val="center"/>
            </w:pPr>
            <w:r>
              <w:rPr>
                <w:sz w:val="20"/>
              </w:rPr>
              <w:t xml:space="preserve">5.</w:t>
            </w:r>
          </w:p>
        </w:tc>
        <w:tc>
          <w:tcPr>
            <w:tcW w:w="2608" w:type="dxa"/>
          </w:tcPr>
          <w:p>
            <w:pPr>
              <w:pStyle w:val="0"/>
            </w:pPr>
            <w:r>
              <w:rPr>
                <w:sz w:val="20"/>
              </w:rPr>
              <w:t xml:space="preserve">Государственная поддержка отрасли культуры на поддержку лучших сельских учреждений культуры в рамках подпрограммы "Обеспечение условий реализации Программы" государственной программы Владимирской области "Развитие культуры"</w:t>
            </w:r>
          </w:p>
        </w:tc>
        <w:tc>
          <w:tcPr>
            <w:tcW w:w="1644" w:type="dxa"/>
          </w:tcPr>
          <w:p>
            <w:pPr>
              <w:pStyle w:val="0"/>
            </w:pPr>
            <w:r>
              <w:rPr>
                <w:sz w:val="20"/>
              </w:rPr>
              <w:t xml:space="preserve">Государственная программа Владимирской области "Развитие культуры"</w:t>
            </w:r>
          </w:p>
        </w:tc>
        <w:tc>
          <w:tcPr>
            <w:tcW w:w="1247" w:type="dxa"/>
          </w:tcPr>
          <w:p>
            <w:pPr>
              <w:pStyle w:val="0"/>
            </w:pPr>
            <w:r>
              <w:rPr>
                <w:sz w:val="20"/>
              </w:rPr>
              <w:t xml:space="preserve">Департамент культуры Владимирской области</w:t>
            </w:r>
          </w:p>
        </w:tc>
        <w:tc>
          <w:tcPr>
            <w:tcW w:w="3515" w:type="dxa"/>
          </w:tcPr>
          <w:p>
            <w:pPr>
              <w:pStyle w:val="0"/>
            </w:pPr>
            <w:r>
              <w:rPr>
                <w:sz w:val="20"/>
              </w:rPr>
              <w:t xml:space="preserve">Количество лучших сельских учреждений культуры, которым оказана государственная поддержка</w:t>
            </w:r>
          </w:p>
        </w:tc>
        <w:tc>
          <w:tcPr>
            <w:tcW w:w="737" w:type="dxa"/>
          </w:tcPr>
          <w:p>
            <w:pPr>
              <w:pStyle w:val="0"/>
            </w:pPr>
            <w:r>
              <w:rPr>
                <w:sz w:val="20"/>
              </w:rPr>
              <w:t xml:space="preserve">ед.</w:t>
            </w:r>
          </w:p>
        </w:tc>
        <w:tc>
          <w:tcPr>
            <w:tcW w:w="1077" w:type="dxa"/>
          </w:tcPr>
          <w:p>
            <w:pPr>
              <w:pStyle w:val="0"/>
              <w:jc w:val="center"/>
            </w:pPr>
            <w:r>
              <w:rPr>
                <w:sz w:val="20"/>
              </w:rPr>
              <w:t xml:space="preserve">11</w:t>
            </w:r>
          </w:p>
        </w:tc>
        <w:tc>
          <w:tcPr>
            <w:tcW w:w="1077" w:type="dxa"/>
          </w:tcPr>
          <w:p>
            <w:pPr>
              <w:pStyle w:val="0"/>
              <w:jc w:val="center"/>
            </w:pPr>
            <w:r>
              <w:rPr>
                <w:sz w:val="20"/>
              </w:rPr>
              <w:t xml:space="preserve">11</w:t>
            </w:r>
          </w:p>
        </w:tc>
        <w:tc>
          <w:tcPr>
            <w:tcW w:w="1077" w:type="dxa"/>
          </w:tcPr>
          <w:p>
            <w:pPr>
              <w:pStyle w:val="0"/>
              <w:jc w:val="center"/>
            </w:pPr>
            <w:r>
              <w:rPr>
                <w:sz w:val="20"/>
              </w:rPr>
              <w:t xml:space="preserve">11</w:t>
            </w:r>
          </w:p>
        </w:tc>
      </w:tr>
      <w:tr>
        <w:tc>
          <w:tcPr>
            <w:tcW w:w="624" w:type="dxa"/>
            <w:vMerge w:val="restart"/>
          </w:tcPr>
          <w:p>
            <w:pPr>
              <w:pStyle w:val="0"/>
              <w:jc w:val="center"/>
            </w:pPr>
            <w:r>
              <w:rPr>
                <w:sz w:val="20"/>
              </w:rPr>
              <w:t xml:space="preserve">6.</w:t>
            </w:r>
          </w:p>
        </w:tc>
        <w:tc>
          <w:tcPr>
            <w:tcW w:w="2608" w:type="dxa"/>
            <w:vMerge w:val="restart"/>
          </w:tcPr>
          <w:p>
            <w:pPr>
              <w:pStyle w:val="0"/>
            </w:pPr>
            <w:r>
              <w:rPr>
                <w:sz w:val="20"/>
              </w:rPr>
              <w:t xml:space="preserve">Подготовка и проведение празднования на федеральном уровне памятных дат Владимирской области</w:t>
            </w:r>
          </w:p>
        </w:tc>
        <w:tc>
          <w:tcPr>
            <w:tcW w:w="1644" w:type="dxa"/>
            <w:vMerge w:val="restart"/>
          </w:tcPr>
          <w:p>
            <w:pPr>
              <w:pStyle w:val="0"/>
            </w:pPr>
            <w:r>
              <w:rPr>
                <w:sz w:val="20"/>
              </w:rPr>
              <w:t xml:space="preserve">Государственная программа Владимирской области "Развитие культуры"</w:t>
            </w:r>
          </w:p>
        </w:tc>
        <w:tc>
          <w:tcPr>
            <w:tcW w:w="1247" w:type="dxa"/>
            <w:vMerge w:val="restart"/>
          </w:tcPr>
          <w:p>
            <w:pPr>
              <w:pStyle w:val="0"/>
            </w:pPr>
            <w:r>
              <w:rPr>
                <w:sz w:val="20"/>
              </w:rPr>
              <w:t xml:space="preserve">Департамент культуры Владимирской области</w:t>
            </w:r>
          </w:p>
        </w:tc>
        <w:tc>
          <w:tcPr>
            <w:tcW w:w="3515" w:type="dxa"/>
          </w:tcPr>
          <w:p>
            <w:pPr>
              <w:pStyle w:val="0"/>
            </w:pPr>
            <w:r>
              <w:rPr>
                <w:sz w:val="20"/>
              </w:rPr>
              <w:t xml:space="preserve">Выполнение плана основных мероприятий, связанных с подготовкой и проведением празднования в 2024 году 1000-летия основания г. Суздаля Владимирской области, не менее чем на 90 процентов ежегодно</w:t>
            </w:r>
          </w:p>
        </w:tc>
        <w:tc>
          <w:tcPr>
            <w:tcW w:w="737" w:type="dxa"/>
          </w:tcPr>
          <w:p>
            <w:pPr>
              <w:pStyle w:val="0"/>
            </w:pPr>
            <w:r>
              <w:rPr>
                <w:sz w:val="20"/>
              </w:rPr>
              <w:t xml:space="preserve">%</w:t>
            </w:r>
          </w:p>
        </w:tc>
        <w:tc>
          <w:tcPr>
            <w:tcW w:w="1077" w:type="dxa"/>
          </w:tcPr>
          <w:p>
            <w:pPr>
              <w:pStyle w:val="0"/>
              <w:jc w:val="center"/>
            </w:pPr>
            <w:r>
              <w:rPr>
                <w:sz w:val="20"/>
              </w:rPr>
              <w:t xml:space="preserve">90,0</w:t>
            </w:r>
          </w:p>
        </w:tc>
        <w:tc>
          <w:tcPr>
            <w:tcW w:w="1077" w:type="dxa"/>
          </w:tcPr>
          <w:p>
            <w:pPr>
              <w:pStyle w:val="0"/>
              <w:jc w:val="center"/>
            </w:pPr>
            <w:r>
              <w:rPr>
                <w:sz w:val="20"/>
              </w:rPr>
              <w:t xml:space="preserve">90,0</w:t>
            </w:r>
          </w:p>
        </w:tc>
        <w:tc>
          <w:tcPr>
            <w:tcW w:w="1077" w:type="dxa"/>
          </w:tcPr>
          <w:p>
            <w:pPr>
              <w:pStyle w:val="0"/>
              <w:jc w:val="center"/>
            </w:pPr>
            <w:r>
              <w:rPr>
                <w:sz w:val="20"/>
              </w:rPr>
              <w:t xml:space="preserve">90,0</w:t>
            </w:r>
          </w:p>
        </w:tc>
      </w:tr>
      <w:tr>
        <w:tc>
          <w:tcPr>
            <w:vMerge w:val="continue"/>
          </w:tcPr>
          <w:p/>
        </w:tc>
        <w:tc>
          <w:tcPr>
            <w:vMerge w:val="continue"/>
          </w:tcPr>
          <w:p/>
        </w:tc>
        <w:tc>
          <w:tcPr>
            <w:vMerge w:val="continue"/>
          </w:tcPr>
          <w:p/>
        </w:tc>
        <w:tc>
          <w:tcPr>
            <w:vMerge w:val="continue"/>
          </w:tcPr>
          <w:p/>
        </w:tc>
        <w:tc>
          <w:tcPr>
            <w:tcW w:w="3515" w:type="dxa"/>
          </w:tcPr>
          <w:p>
            <w:pPr>
              <w:pStyle w:val="0"/>
            </w:pPr>
            <w:r>
              <w:rPr>
                <w:sz w:val="20"/>
              </w:rPr>
              <w:t xml:space="preserve">Средняя численность участников клубных формирований в расчете на 1 тыс. человек</w:t>
            </w:r>
          </w:p>
        </w:tc>
        <w:tc>
          <w:tcPr>
            <w:tcW w:w="737" w:type="dxa"/>
          </w:tcPr>
          <w:p>
            <w:pPr>
              <w:pStyle w:val="0"/>
            </w:pPr>
            <w:r>
              <w:rPr>
                <w:sz w:val="20"/>
              </w:rPr>
              <w:t xml:space="preserve">чел.</w:t>
            </w:r>
          </w:p>
        </w:tc>
        <w:tc>
          <w:tcPr>
            <w:tcW w:w="1077" w:type="dxa"/>
          </w:tcPr>
          <w:p>
            <w:pPr>
              <w:pStyle w:val="0"/>
              <w:jc w:val="center"/>
            </w:pPr>
            <w:r>
              <w:rPr>
                <w:sz w:val="20"/>
              </w:rPr>
              <w:t xml:space="preserve">6</w:t>
            </w:r>
          </w:p>
        </w:tc>
        <w:tc>
          <w:tcPr>
            <w:tcW w:w="1077" w:type="dxa"/>
          </w:tcPr>
          <w:p>
            <w:pPr>
              <w:pStyle w:val="0"/>
              <w:jc w:val="center"/>
            </w:pPr>
            <w:r>
              <w:rPr>
                <w:sz w:val="20"/>
              </w:rPr>
              <w:t xml:space="preserve">6</w:t>
            </w:r>
          </w:p>
        </w:tc>
        <w:tc>
          <w:tcPr>
            <w:tcW w:w="1077" w:type="dxa"/>
          </w:tcPr>
          <w:p>
            <w:pPr>
              <w:pStyle w:val="0"/>
              <w:jc w:val="center"/>
            </w:pPr>
            <w:r>
              <w:rPr>
                <w:sz w:val="20"/>
              </w:rPr>
              <w:t xml:space="preserve">6</w:t>
            </w:r>
          </w:p>
        </w:tc>
      </w:tr>
      <w:tr>
        <w:tc>
          <w:tcPr>
            <w:tcW w:w="624" w:type="dxa"/>
          </w:tcPr>
          <w:p>
            <w:pPr>
              <w:pStyle w:val="0"/>
              <w:jc w:val="center"/>
            </w:pPr>
            <w:r>
              <w:rPr>
                <w:sz w:val="20"/>
              </w:rPr>
              <w:t xml:space="preserve">7.</w:t>
            </w:r>
          </w:p>
        </w:tc>
        <w:tc>
          <w:tcPr>
            <w:tcW w:w="2608" w:type="dxa"/>
          </w:tcPr>
          <w:p>
            <w:pPr>
              <w:pStyle w:val="0"/>
            </w:pPr>
            <w:r>
              <w:rPr>
                <w:sz w:val="20"/>
              </w:rPr>
              <w:t xml:space="preserve">Укрепление материально-технической базы муниципальных учреждений культуры в рамках подпрограммы "Развитие и модернизация материально-технической базы муниципальных учреждений культуры Владимирской области" государственной программы Владимирской области "Развитие культуры"</w:t>
            </w:r>
          </w:p>
        </w:tc>
        <w:tc>
          <w:tcPr>
            <w:tcW w:w="1644" w:type="dxa"/>
          </w:tcPr>
          <w:p>
            <w:pPr>
              <w:pStyle w:val="0"/>
            </w:pPr>
            <w:r>
              <w:rPr>
                <w:sz w:val="20"/>
              </w:rPr>
              <w:t xml:space="preserve">Государственная программа Владимирской области "Развитие культуры"</w:t>
            </w:r>
          </w:p>
        </w:tc>
        <w:tc>
          <w:tcPr>
            <w:tcW w:w="1247" w:type="dxa"/>
          </w:tcPr>
          <w:p>
            <w:pPr>
              <w:pStyle w:val="0"/>
            </w:pPr>
            <w:r>
              <w:rPr>
                <w:sz w:val="20"/>
              </w:rPr>
              <w:t xml:space="preserve">Департамент культуры Владимирской области</w:t>
            </w:r>
          </w:p>
        </w:tc>
        <w:tc>
          <w:tcPr>
            <w:tcW w:w="3515" w:type="dxa"/>
          </w:tcPr>
          <w:p>
            <w:pPr>
              <w:pStyle w:val="0"/>
            </w:pPr>
            <w:r>
              <w:rPr>
                <w:sz w:val="20"/>
              </w:rPr>
              <w:t xml:space="preserve">Количество муниципальных учреждений культуры, на которых проводятся мероприятия по ремонту и оснащению оборудованием</w:t>
            </w:r>
          </w:p>
        </w:tc>
        <w:tc>
          <w:tcPr>
            <w:tcW w:w="737" w:type="dxa"/>
          </w:tcPr>
          <w:p>
            <w:pPr>
              <w:pStyle w:val="0"/>
            </w:pPr>
            <w:r>
              <w:rPr>
                <w:sz w:val="20"/>
              </w:rPr>
              <w:t xml:space="preserve">ед.</w:t>
            </w:r>
          </w:p>
        </w:tc>
        <w:tc>
          <w:tcPr>
            <w:tcW w:w="1077" w:type="dxa"/>
          </w:tcPr>
          <w:p>
            <w:pPr>
              <w:pStyle w:val="0"/>
              <w:jc w:val="center"/>
            </w:pPr>
            <w:r>
              <w:rPr>
                <w:sz w:val="20"/>
              </w:rPr>
              <w:t xml:space="preserve">4</w:t>
            </w:r>
          </w:p>
        </w:tc>
        <w:tc>
          <w:tcPr>
            <w:tcW w:w="1077" w:type="dxa"/>
          </w:tcPr>
          <w:p>
            <w:pPr>
              <w:pStyle w:val="0"/>
              <w:jc w:val="center"/>
            </w:pPr>
            <w:r>
              <w:rPr>
                <w:sz w:val="20"/>
              </w:rPr>
              <w:t xml:space="preserve">4</w:t>
            </w:r>
          </w:p>
        </w:tc>
        <w:tc>
          <w:tcPr>
            <w:tcW w:w="1077" w:type="dxa"/>
          </w:tcPr>
          <w:p>
            <w:pPr>
              <w:pStyle w:val="0"/>
              <w:jc w:val="center"/>
            </w:pPr>
            <w:r>
              <w:rPr>
                <w:sz w:val="20"/>
              </w:rPr>
              <w:t xml:space="preserve">4</w:t>
            </w:r>
          </w:p>
        </w:tc>
      </w:tr>
      <w:tr>
        <w:tc>
          <w:tcPr>
            <w:tcW w:w="624" w:type="dxa"/>
          </w:tcPr>
          <w:p>
            <w:pPr>
              <w:pStyle w:val="0"/>
              <w:jc w:val="center"/>
            </w:pPr>
            <w:r>
              <w:rPr>
                <w:sz w:val="20"/>
              </w:rPr>
              <w:t xml:space="preserve">8.</w:t>
            </w:r>
          </w:p>
        </w:tc>
        <w:tc>
          <w:tcPr>
            <w:tcW w:w="2608" w:type="dxa"/>
          </w:tcPr>
          <w:p>
            <w:pPr>
              <w:pStyle w:val="0"/>
            </w:pPr>
            <w:r>
              <w:rPr>
                <w:sz w:val="20"/>
              </w:rPr>
              <w:t xml:space="preserve">Обеспечение развития и укрепления материально-технической базы домов культуры в населенных пунктах с числом жителей до 50 тысяч человек в рамках подпрограммы "Развитие и модернизация материально-технической базы муниципальных учреждений культуры Владимирской области" государственной программы Владимирской области "Развитие культуры"</w:t>
            </w:r>
          </w:p>
        </w:tc>
        <w:tc>
          <w:tcPr>
            <w:tcW w:w="1644" w:type="dxa"/>
          </w:tcPr>
          <w:p>
            <w:pPr>
              <w:pStyle w:val="0"/>
            </w:pPr>
            <w:r>
              <w:rPr>
                <w:sz w:val="20"/>
              </w:rPr>
              <w:t xml:space="preserve">Государственная программа Владимирской области "Развитие культуры"</w:t>
            </w:r>
          </w:p>
        </w:tc>
        <w:tc>
          <w:tcPr>
            <w:tcW w:w="1247" w:type="dxa"/>
          </w:tcPr>
          <w:p>
            <w:pPr>
              <w:pStyle w:val="0"/>
            </w:pPr>
            <w:r>
              <w:rPr>
                <w:sz w:val="20"/>
              </w:rPr>
              <w:t xml:space="preserve">Департамент культуры Владимирской области</w:t>
            </w:r>
          </w:p>
        </w:tc>
        <w:tc>
          <w:tcPr>
            <w:tcW w:w="3515" w:type="dxa"/>
          </w:tcPr>
          <w:p>
            <w:pPr>
              <w:pStyle w:val="0"/>
            </w:pPr>
            <w:r>
              <w:rPr>
                <w:sz w:val="20"/>
              </w:rPr>
              <w:t xml:space="preserve">Средняя численность участников клубных формирований в расчете на одну тыс. человек (в населенных пунктах с числом жителей до 50 тыс. человек)</w:t>
            </w:r>
          </w:p>
        </w:tc>
        <w:tc>
          <w:tcPr>
            <w:tcW w:w="737" w:type="dxa"/>
          </w:tcPr>
          <w:p>
            <w:pPr>
              <w:pStyle w:val="0"/>
            </w:pPr>
            <w:r>
              <w:rPr>
                <w:sz w:val="20"/>
              </w:rPr>
              <w:t xml:space="preserve">чел.</w:t>
            </w:r>
          </w:p>
        </w:tc>
        <w:tc>
          <w:tcPr>
            <w:tcW w:w="1077" w:type="dxa"/>
          </w:tcPr>
          <w:p>
            <w:pPr>
              <w:pStyle w:val="0"/>
              <w:jc w:val="center"/>
            </w:pPr>
            <w:r>
              <w:rPr>
                <w:sz w:val="20"/>
              </w:rPr>
              <w:t xml:space="preserve">89</w:t>
            </w:r>
          </w:p>
        </w:tc>
        <w:tc>
          <w:tcPr>
            <w:tcW w:w="1077" w:type="dxa"/>
          </w:tcPr>
          <w:p>
            <w:pPr>
              <w:pStyle w:val="0"/>
              <w:jc w:val="center"/>
            </w:pPr>
            <w:r>
              <w:rPr>
                <w:sz w:val="20"/>
              </w:rPr>
              <w:t xml:space="preserve">89</w:t>
            </w:r>
          </w:p>
        </w:tc>
        <w:tc>
          <w:tcPr>
            <w:tcW w:w="1077" w:type="dxa"/>
          </w:tcPr>
          <w:p>
            <w:pPr>
              <w:pStyle w:val="0"/>
              <w:jc w:val="center"/>
            </w:pPr>
            <w:r>
              <w:rPr>
                <w:sz w:val="20"/>
              </w:rPr>
              <w:t xml:space="preserve">89</w:t>
            </w:r>
          </w:p>
        </w:tc>
      </w:tr>
      <w:tr>
        <w:tc>
          <w:tcPr>
            <w:tcW w:w="624" w:type="dxa"/>
          </w:tcPr>
          <w:p>
            <w:pPr>
              <w:pStyle w:val="0"/>
              <w:jc w:val="center"/>
            </w:pPr>
            <w:r>
              <w:rPr>
                <w:sz w:val="20"/>
              </w:rPr>
              <w:t xml:space="preserve">9.</w:t>
            </w:r>
          </w:p>
        </w:tc>
        <w:tc>
          <w:tcPr>
            <w:tcW w:w="2608" w:type="dxa"/>
          </w:tcPr>
          <w:p>
            <w:pPr>
              <w:pStyle w:val="0"/>
            </w:pPr>
            <w:r>
              <w:rPr>
                <w:sz w:val="20"/>
              </w:rPr>
              <w:t xml:space="preserve">Государственная поддержка отрасли культуры на комплексные мероприятия, направленные на создание и модернизацию учреждений культурно-досугового типа в сельской местности, включая строительство, реконструкцию и капитальный ремонт зданий в рамках подпрограммы "Развитие и модернизация материально-технической базы муниципальных учреждений культуры Владимирской области" государственной программы Владимирской области "Развитие культуры"</w:t>
            </w:r>
          </w:p>
        </w:tc>
        <w:tc>
          <w:tcPr>
            <w:tcW w:w="1644" w:type="dxa"/>
          </w:tcPr>
          <w:p>
            <w:pPr>
              <w:pStyle w:val="0"/>
            </w:pPr>
            <w:r>
              <w:rPr>
                <w:sz w:val="20"/>
              </w:rPr>
              <w:t xml:space="preserve">Государственная программа Владимирской области "Развитие культуры"</w:t>
            </w:r>
          </w:p>
        </w:tc>
        <w:tc>
          <w:tcPr>
            <w:tcW w:w="1247" w:type="dxa"/>
          </w:tcPr>
          <w:p>
            <w:pPr>
              <w:pStyle w:val="0"/>
            </w:pPr>
            <w:r>
              <w:rPr>
                <w:sz w:val="20"/>
              </w:rPr>
              <w:t xml:space="preserve">Департамент культуры Владимирской области</w:t>
            </w:r>
          </w:p>
        </w:tc>
        <w:tc>
          <w:tcPr>
            <w:tcW w:w="3515" w:type="dxa"/>
          </w:tcPr>
          <w:p>
            <w:pPr>
              <w:pStyle w:val="0"/>
            </w:pPr>
            <w:r>
              <w:rPr>
                <w:sz w:val="20"/>
              </w:rPr>
              <w:t xml:space="preserve">Число построенных (реконструированных) и (или) капитально отремонтированных культурно-досуговых учреждений в сельской местности</w:t>
            </w:r>
          </w:p>
        </w:tc>
        <w:tc>
          <w:tcPr>
            <w:tcW w:w="737" w:type="dxa"/>
          </w:tcPr>
          <w:p>
            <w:pPr>
              <w:pStyle w:val="0"/>
            </w:pPr>
            <w:r>
              <w:rPr>
                <w:sz w:val="20"/>
              </w:rPr>
              <w:t xml:space="preserve">ед.</w:t>
            </w:r>
          </w:p>
        </w:tc>
        <w:tc>
          <w:tcPr>
            <w:tcW w:w="1077" w:type="dxa"/>
          </w:tcPr>
          <w:p>
            <w:pPr>
              <w:pStyle w:val="0"/>
              <w:jc w:val="center"/>
            </w:pPr>
            <w:r>
              <w:rPr>
                <w:sz w:val="20"/>
              </w:rPr>
              <w:t xml:space="preserve">2</w:t>
            </w:r>
          </w:p>
        </w:tc>
        <w:tc>
          <w:tcPr>
            <w:tcW w:w="1077" w:type="dxa"/>
          </w:tcPr>
          <w:p>
            <w:pPr>
              <w:pStyle w:val="0"/>
              <w:jc w:val="center"/>
            </w:pPr>
            <w:r>
              <w:rPr>
                <w:sz w:val="20"/>
              </w:rPr>
              <w:t xml:space="preserve">2</w:t>
            </w:r>
          </w:p>
        </w:tc>
        <w:tc>
          <w:tcPr>
            <w:tcW w:w="1077" w:type="dxa"/>
          </w:tcPr>
          <w:p>
            <w:pPr>
              <w:pStyle w:val="0"/>
              <w:jc w:val="center"/>
            </w:pPr>
            <w:r>
              <w:rPr>
                <w:sz w:val="20"/>
              </w:rPr>
              <w:t xml:space="preserve">2</w:t>
            </w:r>
          </w:p>
        </w:tc>
      </w:tr>
      <w:tr>
        <w:tc>
          <w:tcPr>
            <w:tcW w:w="624" w:type="dxa"/>
          </w:tcPr>
          <w:p>
            <w:pPr>
              <w:pStyle w:val="0"/>
              <w:jc w:val="center"/>
            </w:pPr>
            <w:r>
              <w:rPr>
                <w:sz w:val="20"/>
              </w:rPr>
              <w:t xml:space="preserve">10.</w:t>
            </w:r>
          </w:p>
        </w:tc>
        <w:tc>
          <w:tcPr>
            <w:tcW w:w="2608" w:type="dxa"/>
          </w:tcPr>
          <w:p>
            <w:pPr>
              <w:pStyle w:val="0"/>
            </w:pPr>
            <w:r>
              <w:rPr>
                <w:sz w:val="20"/>
              </w:rPr>
              <w:t xml:space="preserve">Государственная поддержка отрасли культуры на реализацию мероприятий по модернизации муниципальных детских школ искусств по видам искусств в рамках подпрограммы "Развитие и модернизация материально-технической базы муниципальных учреждений культуры Владимирской области" государственной программы Владимирской области "Развитие культуры"</w:t>
            </w:r>
          </w:p>
        </w:tc>
        <w:tc>
          <w:tcPr>
            <w:tcW w:w="1644" w:type="dxa"/>
          </w:tcPr>
          <w:p>
            <w:pPr>
              <w:pStyle w:val="0"/>
            </w:pPr>
            <w:r>
              <w:rPr>
                <w:sz w:val="20"/>
              </w:rPr>
              <w:t xml:space="preserve">Государственная программа Владимирской области "Развитие культуры"</w:t>
            </w:r>
          </w:p>
        </w:tc>
        <w:tc>
          <w:tcPr>
            <w:tcW w:w="1247" w:type="dxa"/>
          </w:tcPr>
          <w:p>
            <w:pPr>
              <w:pStyle w:val="0"/>
            </w:pPr>
            <w:r>
              <w:rPr>
                <w:sz w:val="20"/>
              </w:rPr>
              <w:t xml:space="preserve">Департамент культуры Владимирской области</w:t>
            </w:r>
          </w:p>
        </w:tc>
        <w:tc>
          <w:tcPr>
            <w:tcW w:w="3515" w:type="dxa"/>
          </w:tcPr>
          <w:p>
            <w:pPr>
              <w:pStyle w:val="0"/>
            </w:pPr>
            <w:r>
              <w:rPr>
                <w:sz w:val="20"/>
              </w:rPr>
              <w:t xml:space="preserve">Число реконструированных и (или) капитально отремонтированных муниципальных детских школ искусств</w:t>
            </w:r>
          </w:p>
        </w:tc>
        <w:tc>
          <w:tcPr>
            <w:tcW w:w="737" w:type="dxa"/>
          </w:tcPr>
          <w:p>
            <w:pPr>
              <w:pStyle w:val="0"/>
            </w:pPr>
            <w:r>
              <w:rPr>
                <w:sz w:val="20"/>
              </w:rPr>
              <w:t xml:space="preserve">ед.</w:t>
            </w:r>
          </w:p>
        </w:tc>
        <w:tc>
          <w:tcPr>
            <w:tcW w:w="1077" w:type="dxa"/>
          </w:tcPr>
          <w:p>
            <w:pPr>
              <w:pStyle w:val="0"/>
              <w:jc w:val="center"/>
            </w:pPr>
            <w:r>
              <w:rPr>
                <w:sz w:val="20"/>
              </w:rPr>
              <w:t xml:space="preserve">1</w:t>
            </w:r>
          </w:p>
        </w:tc>
        <w:tc>
          <w:tcPr>
            <w:tcW w:w="1077" w:type="dxa"/>
          </w:tcPr>
          <w:p>
            <w:pPr>
              <w:pStyle w:val="0"/>
              <w:jc w:val="center"/>
            </w:pPr>
            <w:r>
              <w:rPr>
                <w:sz w:val="20"/>
              </w:rPr>
              <w:t xml:space="preserve">2</w:t>
            </w:r>
          </w:p>
        </w:tc>
        <w:tc>
          <w:tcPr>
            <w:tcW w:w="1077" w:type="dxa"/>
          </w:tcPr>
          <w:p>
            <w:pPr>
              <w:pStyle w:val="0"/>
              <w:jc w:val="center"/>
            </w:pPr>
            <w:r>
              <w:rPr>
                <w:sz w:val="20"/>
              </w:rPr>
              <w:t xml:space="preserve">2</w:t>
            </w:r>
          </w:p>
        </w:tc>
      </w:tr>
      <w:tr>
        <w:tc>
          <w:tcPr>
            <w:tcW w:w="624" w:type="dxa"/>
          </w:tcPr>
          <w:p>
            <w:pPr>
              <w:pStyle w:val="0"/>
              <w:jc w:val="center"/>
            </w:pPr>
            <w:r>
              <w:rPr>
                <w:sz w:val="20"/>
              </w:rPr>
              <w:t xml:space="preserve">11.</w:t>
            </w:r>
          </w:p>
        </w:tc>
        <w:tc>
          <w:tcPr>
            <w:tcW w:w="2608" w:type="dxa"/>
          </w:tcPr>
          <w:p>
            <w:pPr>
              <w:pStyle w:val="0"/>
            </w:pPr>
            <w:r>
              <w:rPr>
                <w:sz w:val="20"/>
              </w:rPr>
              <w:t xml:space="preserve">Государственная поддержка отрасли культуры на обеспечение автотранспортом для внестационарного обслуживания населения в рамках подпрограммы "Развитие и модернизация материально-технической базы муниципальных учреждений культуры Владимирской области" государственной программы Владимирской области "Развитие культуры"</w:t>
            </w:r>
          </w:p>
        </w:tc>
        <w:tc>
          <w:tcPr>
            <w:tcW w:w="1644" w:type="dxa"/>
          </w:tcPr>
          <w:p>
            <w:pPr>
              <w:pStyle w:val="0"/>
            </w:pPr>
            <w:r>
              <w:rPr>
                <w:sz w:val="20"/>
              </w:rPr>
              <w:t xml:space="preserve">Государственная программа Владимирской области "Развитие культуры"</w:t>
            </w:r>
          </w:p>
        </w:tc>
        <w:tc>
          <w:tcPr>
            <w:tcW w:w="1247" w:type="dxa"/>
          </w:tcPr>
          <w:p>
            <w:pPr>
              <w:pStyle w:val="0"/>
            </w:pPr>
            <w:r>
              <w:rPr>
                <w:sz w:val="20"/>
              </w:rPr>
              <w:t xml:space="preserve">Департамент культуры Владимирской области</w:t>
            </w:r>
          </w:p>
        </w:tc>
        <w:tc>
          <w:tcPr>
            <w:tcW w:w="3515" w:type="dxa"/>
          </w:tcPr>
          <w:p>
            <w:pPr>
              <w:pStyle w:val="0"/>
            </w:pPr>
            <w:r>
              <w:rPr>
                <w:sz w:val="20"/>
              </w:rPr>
              <w:t xml:space="preserve">Число единиц автотранспорта, приобретенных для внестационарного обслуживания населения</w:t>
            </w:r>
          </w:p>
        </w:tc>
        <w:tc>
          <w:tcPr>
            <w:tcW w:w="737" w:type="dxa"/>
          </w:tcPr>
          <w:p>
            <w:pPr>
              <w:pStyle w:val="0"/>
            </w:pPr>
            <w:r>
              <w:rPr>
                <w:sz w:val="20"/>
              </w:rPr>
              <w:t xml:space="preserve">ед.</w:t>
            </w:r>
          </w:p>
        </w:tc>
        <w:tc>
          <w:tcPr>
            <w:tcW w:w="1077" w:type="dxa"/>
          </w:tcPr>
          <w:p>
            <w:pPr>
              <w:pStyle w:val="0"/>
              <w:jc w:val="center"/>
            </w:pPr>
            <w:r>
              <w:rPr>
                <w:sz w:val="20"/>
              </w:rPr>
              <w:t xml:space="preserve">1</w:t>
            </w:r>
          </w:p>
        </w:tc>
        <w:tc>
          <w:tcPr>
            <w:tcW w:w="1077" w:type="dxa"/>
          </w:tcPr>
          <w:p>
            <w:pPr>
              <w:pStyle w:val="0"/>
              <w:jc w:val="center"/>
            </w:pPr>
            <w:r>
              <w:rPr>
                <w:sz w:val="20"/>
              </w:rPr>
              <w:t xml:space="preserve">1</w:t>
            </w:r>
          </w:p>
        </w:tc>
        <w:tc>
          <w:tcPr>
            <w:tcW w:w="1077" w:type="dxa"/>
          </w:tcPr>
          <w:p>
            <w:pPr>
              <w:pStyle w:val="0"/>
              <w:jc w:val="center"/>
            </w:pPr>
            <w:r>
              <w:rPr>
                <w:sz w:val="20"/>
              </w:rPr>
              <w:t xml:space="preserve">1</w:t>
            </w:r>
          </w:p>
        </w:tc>
      </w:tr>
      <w:tr>
        <w:tc>
          <w:tcPr>
            <w:tcW w:w="624" w:type="dxa"/>
          </w:tcPr>
          <w:p>
            <w:pPr>
              <w:pStyle w:val="0"/>
              <w:jc w:val="center"/>
            </w:pPr>
            <w:r>
              <w:rPr>
                <w:sz w:val="20"/>
              </w:rPr>
              <w:t xml:space="preserve">12.</w:t>
            </w:r>
          </w:p>
        </w:tc>
        <w:tc>
          <w:tcPr>
            <w:tcW w:w="2608" w:type="dxa"/>
          </w:tcPr>
          <w:p>
            <w:pPr>
              <w:pStyle w:val="0"/>
            </w:pPr>
            <w:r>
              <w:rPr>
                <w:sz w:val="20"/>
              </w:rPr>
              <w:t xml:space="preserve">Государственная поддержка отрасли культуры на приобретение музыкальных инструментов, оборудования и материалов для детских школ искусств по видам искусств в рамках подпрограммы "Развитие и модернизация материально-технической базы муниципальных учреждений культуры Владимирской области" государственной программы Владимирской области "Развитие культуры"</w:t>
            </w:r>
          </w:p>
        </w:tc>
        <w:tc>
          <w:tcPr>
            <w:tcW w:w="1644" w:type="dxa"/>
          </w:tcPr>
          <w:p>
            <w:pPr>
              <w:pStyle w:val="0"/>
            </w:pPr>
            <w:r>
              <w:rPr>
                <w:sz w:val="20"/>
              </w:rPr>
              <w:t xml:space="preserve">Государственная программа Владимирской области "Развитие культуры"</w:t>
            </w:r>
          </w:p>
        </w:tc>
        <w:tc>
          <w:tcPr>
            <w:tcW w:w="1247" w:type="dxa"/>
          </w:tcPr>
          <w:p>
            <w:pPr>
              <w:pStyle w:val="0"/>
            </w:pPr>
            <w:r>
              <w:rPr>
                <w:sz w:val="20"/>
              </w:rPr>
              <w:t xml:space="preserve">Департамент культуры Владимирской области</w:t>
            </w:r>
          </w:p>
        </w:tc>
        <w:tc>
          <w:tcPr>
            <w:tcW w:w="3515" w:type="dxa"/>
          </w:tcPr>
          <w:p>
            <w:pPr>
              <w:pStyle w:val="0"/>
            </w:pPr>
            <w:r>
              <w:rPr>
                <w:sz w:val="20"/>
              </w:rPr>
              <w:t xml:space="preserve">Число оснащенных образовательных учреждений в сфере культуры (детских школ искусств по видам искусств и училищ) музыкальными инструментами, оборудованием и учебными материалами</w:t>
            </w:r>
          </w:p>
        </w:tc>
        <w:tc>
          <w:tcPr>
            <w:tcW w:w="737" w:type="dxa"/>
          </w:tcPr>
          <w:p>
            <w:pPr>
              <w:pStyle w:val="0"/>
            </w:pPr>
            <w:r>
              <w:rPr>
                <w:sz w:val="20"/>
              </w:rPr>
              <w:t xml:space="preserve">ед.</w:t>
            </w:r>
          </w:p>
        </w:tc>
        <w:tc>
          <w:tcPr>
            <w:tcW w:w="1077" w:type="dxa"/>
          </w:tcPr>
          <w:p>
            <w:pPr>
              <w:pStyle w:val="0"/>
              <w:jc w:val="center"/>
            </w:pPr>
            <w:r>
              <w:rPr>
                <w:sz w:val="20"/>
              </w:rPr>
              <w:t xml:space="preserve">-</w:t>
            </w:r>
          </w:p>
        </w:tc>
        <w:tc>
          <w:tcPr>
            <w:tcW w:w="1077" w:type="dxa"/>
          </w:tcPr>
          <w:p>
            <w:pPr>
              <w:pStyle w:val="0"/>
              <w:jc w:val="center"/>
            </w:pPr>
            <w:r>
              <w:rPr>
                <w:sz w:val="20"/>
              </w:rPr>
              <w:t xml:space="preserve">10</w:t>
            </w:r>
          </w:p>
        </w:tc>
        <w:tc>
          <w:tcPr>
            <w:tcW w:w="1077" w:type="dxa"/>
          </w:tcPr>
          <w:p>
            <w:pPr>
              <w:pStyle w:val="0"/>
              <w:jc w:val="center"/>
            </w:pPr>
            <w:r>
              <w:rPr>
                <w:sz w:val="20"/>
              </w:rPr>
              <w:t xml:space="preserve">10</w:t>
            </w:r>
          </w:p>
        </w:tc>
      </w:tr>
      <w:tr>
        <w:tc>
          <w:tcPr>
            <w:tcW w:w="624" w:type="dxa"/>
          </w:tcPr>
          <w:p>
            <w:pPr>
              <w:pStyle w:val="0"/>
              <w:jc w:val="center"/>
            </w:pPr>
            <w:r>
              <w:rPr>
                <w:sz w:val="20"/>
              </w:rPr>
              <w:t xml:space="preserve">13.</w:t>
            </w:r>
          </w:p>
        </w:tc>
        <w:tc>
          <w:tcPr>
            <w:tcW w:w="2608" w:type="dxa"/>
          </w:tcPr>
          <w:p>
            <w:pPr>
              <w:pStyle w:val="0"/>
            </w:pPr>
            <w:r>
              <w:rPr>
                <w:sz w:val="20"/>
              </w:rPr>
              <w:t xml:space="preserve">Создание центров культурного развития в городах с числом жителей до 300 тысяч человек</w:t>
            </w:r>
          </w:p>
        </w:tc>
        <w:tc>
          <w:tcPr>
            <w:tcW w:w="1644" w:type="dxa"/>
          </w:tcPr>
          <w:p>
            <w:pPr>
              <w:pStyle w:val="0"/>
            </w:pPr>
            <w:r>
              <w:rPr>
                <w:sz w:val="20"/>
              </w:rPr>
              <w:t xml:space="preserve">Государственная программа Владимирской области "Развитие культуры"</w:t>
            </w:r>
          </w:p>
        </w:tc>
        <w:tc>
          <w:tcPr>
            <w:tcW w:w="1247" w:type="dxa"/>
          </w:tcPr>
          <w:p>
            <w:pPr>
              <w:pStyle w:val="0"/>
            </w:pPr>
            <w:r>
              <w:rPr>
                <w:sz w:val="20"/>
              </w:rPr>
              <w:t xml:space="preserve">Департамент культуры Владимирской области</w:t>
            </w:r>
          </w:p>
        </w:tc>
        <w:tc>
          <w:tcPr>
            <w:tcW w:w="3515" w:type="dxa"/>
          </w:tcPr>
          <w:p>
            <w:pPr>
              <w:pStyle w:val="0"/>
            </w:pPr>
            <w:r>
              <w:rPr>
                <w:sz w:val="20"/>
              </w:rPr>
              <w:t xml:space="preserve">Число построенных центров культурного развития</w:t>
            </w:r>
          </w:p>
        </w:tc>
        <w:tc>
          <w:tcPr>
            <w:tcW w:w="737" w:type="dxa"/>
          </w:tcPr>
          <w:p>
            <w:pPr>
              <w:pStyle w:val="0"/>
            </w:pPr>
            <w:r>
              <w:rPr>
                <w:sz w:val="20"/>
              </w:rPr>
              <w:t xml:space="preserve">ед.</w:t>
            </w:r>
          </w:p>
        </w:tc>
        <w:tc>
          <w:tcPr>
            <w:tcW w:w="1077" w:type="dxa"/>
          </w:tcPr>
          <w:p>
            <w:pPr>
              <w:pStyle w:val="0"/>
              <w:jc w:val="center"/>
            </w:pPr>
            <w:r>
              <w:rPr>
                <w:sz w:val="20"/>
              </w:rPr>
              <w:t xml:space="preserve">-</w:t>
            </w:r>
          </w:p>
        </w:tc>
        <w:tc>
          <w:tcPr>
            <w:tcW w:w="1077" w:type="dxa"/>
          </w:tcPr>
          <w:p>
            <w:pPr>
              <w:pStyle w:val="0"/>
              <w:jc w:val="center"/>
            </w:pPr>
            <w:r>
              <w:rPr>
                <w:sz w:val="20"/>
              </w:rPr>
              <w:t xml:space="preserve">-</w:t>
            </w:r>
          </w:p>
        </w:tc>
        <w:tc>
          <w:tcPr>
            <w:tcW w:w="1077" w:type="dxa"/>
          </w:tcPr>
          <w:p>
            <w:pPr>
              <w:pStyle w:val="0"/>
              <w:jc w:val="center"/>
            </w:pPr>
            <w:r>
              <w:rPr>
                <w:sz w:val="20"/>
              </w:rPr>
              <w:t xml:space="preserve">1</w:t>
            </w:r>
          </w:p>
        </w:tc>
      </w:tr>
      <w:tr>
        <w:tc>
          <w:tcPr>
            <w:tcW w:w="624" w:type="dxa"/>
          </w:tcPr>
          <w:p>
            <w:pPr>
              <w:pStyle w:val="0"/>
              <w:jc w:val="center"/>
            </w:pPr>
            <w:r>
              <w:rPr>
                <w:sz w:val="20"/>
              </w:rPr>
              <w:t xml:space="preserve">14.</w:t>
            </w:r>
          </w:p>
        </w:tc>
        <w:tc>
          <w:tcPr>
            <w:tcW w:w="2608" w:type="dxa"/>
          </w:tcPr>
          <w:p>
            <w:pPr>
              <w:pStyle w:val="0"/>
            </w:pPr>
            <w:r>
              <w:rPr>
                <w:sz w:val="20"/>
              </w:rPr>
              <w:t xml:space="preserve">Укрепление материально-технической базы муниципальных библиотек области в рамках подпрограммы "Развитие муниципальных общедоступных библиотек области" государственной программы Владимирской области "Развитие культуры"</w:t>
            </w:r>
          </w:p>
        </w:tc>
        <w:tc>
          <w:tcPr>
            <w:tcW w:w="1644" w:type="dxa"/>
          </w:tcPr>
          <w:p>
            <w:pPr>
              <w:pStyle w:val="0"/>
            </w:pPr>
            <w:r>
              <w:rPr>
                <w:sz w:val="20"/>
              </w:rPr>
              <w:t xml:space="preserve">Государственная программа Владимирской области "Развитие культуры"</w:t>
            </w:r>
          </w:p>
        </w:tc>
        <w:tc>
          <w:tcPr>
            <w:tcW w:w="1247" w:type="dxa"/>
          </w:tcPr>
          <w:p>
            <w:pPr>
              <w:pStyle w:val="0"/>
            </w:pPr>
            <w:r>
              <w:rPr>
                <w:sz w:val="20"/>
              </w:rPr>
              <w:t xml:space="preserve">Департамент культуры Владимирской области</w:t>
            </w:r>
          </w:p>
        </w:tc>
        <w:tc>
          <w:tcPr>
            <w:tcW w:w="3515" w:type="dxa"/>
          </w:tcPr>
          <w:p>
            <w:pPr>
              <w:pStyle w:val="0"/>
            </w:pPr>
            <w:r>
              <w:rPr>
                <w:sz w:val="20"/>
              </w:rPr>
              <w:t xml:space="preserve">Количество муниципальных библиотек, на которых проводятся мероприятия по капитальному ремонту</w:t>
            </w:r>
          </w:p>
        </w:tc>
        <w:tc>
          <w:tcPr>
            <w:tcW w:w="737" w:type="dxa"/>
          </w:tcPr>
          <w:p>
            <w:pPr>
              <w:pStyle w:val="0"/>
            </w:pPr>
            <w:r>
              <w:rPr>
                <w:sz w:val="20"/>
              </w:rPr>
              <w:t xml:space="preserve">ед.</w:t>
            </w:r>
          </w:p>
        </w:tc>
        <w:tc>
          <w:tcPr>
            <w:tcW w:w="1077" w:type="dxa"/>
          </w:tcPr>
          <w:p>
            <w:pPr>
              <w:pStyle w:val="0"/>
              <w:jc w:val="center"/>
            </w:pPr>
            <w:r>
              <w:rPr>
                <w:sz w:val="20"/>
              </w:rPr>
              <w:t xml:space="preserve">2</w:t>
            </w:r>
          </w:p>
        </w:tc>
        <w:tc>
          <w:tcPr>
            <w:tcW w:w="1077" w:type="dxa"/>
          </w:tcPr>
          <w:p>
            <w:pPr>
              <w:pStyle w:val="0"/>
              <w:jc w:val="center"/>
            </w:pPr>
            <w:r>
              <w:rPr>
                <w:sz w:val="20"/>
              </w:rPr>
              <w:t xml:space="preserve">2</w:t>
            </w:r>
          </w:p>
        </w:tc>
        <w:tc>
          <w:tcPr>
            <w:tcW w:w="1077" w:type="dxa"/>
          </w:tcPr>
          <w:p>
            <w:pPr>
              <w:pStyle w:val="0"/>
              <w:jc w:val="center"/>
            </w:pPr>
            <w:r>
              <w:rPr>
                <w:sz w:val="20"/>
              </w:rPr>
              <w:t xml:space="preserve">2</w:t>
            </w:r>
          </w:p>
        </w:tc>
      </w:tr>
      <w:tr>
        <w:tc>
          <w:tcPr>
            <w:tcW w:w="624" w:type="dxa"/>
          </w:tcPr>
          <w:p>
            <w:pPr>
              <w:pStyle w:val="0"/>
              <w:jc w:val="center"/>
            </w:pPr>
            <w:r>
              <w:rPr>
                <w:sz w:val="20"/>
              </w:rPr>
              <w:t xml:space="preserve">15.</w:t>
            </w:r>
          </w:p>
        </w:tc>
        <w:tc>
          <w:tcPr>
            <w:tcW w:w="2608" w:type="dxa"/>
          </w:tcPr>
          <w:p>
            <w:pPr>
              <w:pStyle w:val="0"/>
            </w:pPr>
            <w:r>
              <w:rPr>
                <w:sz w:val="20"/>
              </w:rPr>
              <w:t xml:space="preserve">Субсидии из областного бюджета бюджетам муниципальных образований Владимирской области на приобретение спортивного оборудования и инвентаря для приведения организаций спортивной подготовки в нормативное состояние</w:t>
            </w:r>
          </w:p>
        </w:tc>
        <w:tc>
          <w:tcPr>
            <w:tcW w:w="1644"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1247" w:type="dxa"/>
          </w:tcPr>
          <w:p>
            <w:pPr>
              <w:pStyle w:val="0"/>
            </w:pPr>
            <w:r>
              <w:rPr>
                <w:sz w:val="20"/>
              </w:rPr>
              <w:t xml:space="preserve">Департамент физической культуры и спорта Владимирской области</w:t>
            </w:r>
          </w:p>
        </w:tc>
        <w:tc>
          <w:tcPr>
            <w:tcW w:w="3515" w:type="dxa"/>
          </w:tcPr>
          <w:p>
            <w:pPr>
              <w:pStyle w:val="0"/>
            </w:pPr>
            <w:r>
              <w:rPr>
                <w:sz w:val="20"/>
              </w:rPr>
              <w:t xml:space="preserve">Закупка оборудования или услуг</w:t>
            </w:r>
          </w:p>
        </w:tc>
        <w:tc>
          <w:tcPr>
            <w:tcW w:w="737" w:type="dxa"/>
          </w:tcPr>
          <w:p>
            <w:pPr>
              <w:pStyle w:val="0"/>
            </w:pPr>
            <w:r>
              <w:rPr>
                <w:sz w:val="20"/>
              </w:rPr>
              <w:t xml:space="preserve">единица</w:t>
            </w:r>
          </w:p>
        </w:tc>
        <w:tc>
          <w:tcPr>
            <w:tcW w:w="1077" w:type="dxa"/>
          </w:tcPr>
          <w:p>
            <w:pPr>
              <w:pStyle w:val="0"/>
              <w:jc w:val="center"/>
            </w:pPr>
            <w:r>
              <w:rPr>
                <w:sz w:val="20"/>
              </w:rPr>
              <w:t xml:space="preserve">1</w:t>
            </w:r>
          </w:p>
        </w:tc>
        <w:tc>
          <w:tcPr>
            <w:tcW w:w="1077" w:type="dxa"/>
          </w:tcPr>
          <w:p>
            <w:pPr>
              <w:pStyle w:val="0"/>
              <w:jc w:val="center"/>
            </w:pPr>
            <w:r>
              <w:rPr>
                <w:sz w:val="20"/>
              </w:rPr>
              <w:t xml:space="preserve">1</w:t>
            </w:r>
          </w:p>
        </w:tc>
        <w:tc>
          <w:tcPr>
            <w:tcW w:w="1077" w:type="dxa"/>
          </w:tcPr>
          <w:p>
            <w:pPr>
              <w:pStyle w:val="0"/>
              <w:jc w:val="center"/>
            </w:pPr>
            <w:r>
              <w:rPr>
                <w:sz w:val="20"/>
              </w:rPr>
              <w:t xml:space="preserve">1</w:t>
            </w:r>
          </w:p>
        </w:tc>
      </w:tr>
      <w:tr>
        <w:tc>
          <w:tcPr>
            <w:tcW w:w="624" w:type="dxa"/>
          </w:tcPr>
          <w:p>
            <w:pPr>
              <w:pStyle w:val="0"/>
              <w:jc w:val="center"/>
            </w:pPr>
            <w:r>
              <w:rPr>
                <w:sz w:val="20"/>
              </w:rPr>
              <w:t xml:space="preserve">16.</w:t>
            </w:r>
          </w:p>
        </w:tc>
        <w:tc>
          <w:tcPr>
            <w:tcW w:w="2608" w:type="dxa"/>
          </w:tcPr>
          <w:p>
            <w:pPr>
              <w:pStyle w:val="0"/>
            </w:pPr>
            <w:r>
              <w:rPr>
                <w:sz w:val="20"/>
              </w:rPr>
              <w:t xml:space="preserve">Субсидии из областного бюджета бюджетам муниципальных образований Владимирской области на оснащение объектов спортивной инфраструктуры спортивно-технологическим оборудованием</w:t>
            </w:r>
          </w:p>
        </w:tc>
        <w:tc>
          <w:tcPr>
            <w:tcW w:w="1644"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1247" w:type="dxa"/>
          </w:tcPr>
          <w:p>
            <w:pPr>
              <w:pStyle w:val="0"/>
            </w:pPr>
            <w:r>
              <w:rPr>
                <w:sz w:val="20"/>
              </w:rPr>
              <w:t xml:space="preserve">Департамент физической культуры и спорта Владимирской области</w:t>
            </w:r>
          </w:p>
        </w:tc>
        <w:tc>
          <w:tcPr>
            <w:tcW w:w="3515" w:type="dxa"/>
          </w:tcPr>
          <w:p>
            <w:pPr>
              <w:pStyle w:val="0"/>
            </w:pPr>
            <w:r>
              <w:rPr>
                <w:sz w:val="20"/>
              </w:rPr>
              <w:t xml:space="preserve">Закупка оборудования или услуг</w:t>
            </w:r>
          </w:p>
        </w:tc>
        <w:tc>
          <w:tcPr>
            <w:tcW w:w="737" w:type="dxa"/>
          </w:tcPr>
          <w:p>
            <w:pPr>
              <w:pStyle w:val="0"/>
            </w:pPr>
            <w:r>
              <w:rPr>
                <w:sz w:val="20"/>
              </w:rPr>
              <w:t xml:space="preserve">единица</w:t>
            </w:r>
          </w:p>
        </w:tc>
        <w:tc>
          <w:tcPr>
            <w:tcW w:w="1077" w:type="dxa"/>
          </w:tcPr>
          <w:p>
            <w:pPr>
              <w:pStyle w:val="0"/>
              <w:jc w:val="center"/>
            </w:pPr>
            <w:r>
              <w:rPr>
                <w:sz w:val="20"/>
              </w:rPr>
              <w:t xml:space="preserve">2</w:t>
            </w:r>
          </w:p>
        </w:tc>
        <w:tc>
          <w:tcPr>
            <w:tcW w:w="1077" w:type="dxa"/>
          </w:tcPr>
          <w:p>
            <w:pPr>
              <w:pStyle w:val="0"/>
              <w:jc w:val="center"/>
            </w:pPr>
            <w:r>
              <w:rPr>
                <w:sz w:val="20"/>
              </w:rPr>
              <w:t xml:space="preserve">1</w:t>
            </w:r>
          </w:p>
        </w:tc>
        <w:tc>
          <w:tcPr>
            <w:tcW w:w="1077" w:type="dxa"/>
          </w:tcPr>
          <w:p>
            <w:pPr>
              <w:pStyle w:val="0"/>
              <w:jc w:val="center"/>
            </w:pPr>
            <w:r>
              <w:rPr>
                <w:sz w:val="20"/>
              </w:rPr>
              <w:t xml:space="preserve">0</w:t>
            </w:r>
          </w:p>
        </w:tc>
      </w:tr>
      <w:tr>
        <w:tc>
          <w:tcPr>
            <w:tcW w:w="624" w:type="dxa"/>
          </w:tcPr>
          <w:p>
            <w:pPr>
              <w:pStyle w:val="0"/>
              <w:jc w:val="center"/>
            </w:pPr>
            <w:r>
              <w:rPr>
                <w:sz w:val="20"/>
              </w:rPr>
              <w:t xml:space="preserve">17.</w:t>
            </w:r>
          </w:p>
        </w:tc>
        <w:tc>
          <w:tcPr>
            <w:tcW w:w="2608" w:type="dxa"/>
          </w:tcPr>
          <w:p>
            <w:pPr>
              <w:pStyle w:val="0"/>
            </w:pPr>
            <w:r>
              <w:rPr>
                <w:sz w:val="20"/>
              </w:rPr>
              <w:t xml:space="preserve">Субсидии из областного бюджета бюджетам муниципальных образований Владимирской области на реализацию программ спортивной подготовки в соответствии с требованиями федеральных стандартов спортивной подготовки</w:t>
            </w:r>
          </w:p>
        </w:tc>
        <w:tc>
          <w:tcPr>
            <w:tcW w:w="1644"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1247" w:type="dxa"/>
          </w:tcPr>
          <w:p>
            <w:pPr>
              <w:pStyle w:val="0"/>
            </w:pPr>
            <w:r>
              <w:rPr>
                <w:sz w:val="20"/>
              </w:rPr>
              <w:t xml:space="preserve">Департамент физической культуры и спорта Владимирской области</w:t>
            </w:r>
          </w:p>
        </w:tc>
        <w:tc>
          <w:tcPr>
            <w:tcW w:w="3515" w:type="dxa"/>
          </w:tcPr>
          <w:p>
            <w:pPr>
              <w:pStyle w:val="0"/>
            </w:pPr>
            <w:r>
              <w:rPr>
                <w:sz w:val="20"/>
              </w:rPr>
              <w:t xml:space="preserve">Количество спортсменов, включенных в списки кандидатов в спортивные сборные команды Российской Федерации по видам спорта</w:t>
            </w:r>
          </w:p>
        </w:tc>
        <w:tc>
          <w:tcPr>
            <w:tcW w:w="737" w:type="dxa"/>
          </w:tcPr>
          <w:p>
            <w:pPr>
              <w:pStyle w:val="0"/>
            </w:pPr>
            <w:r>
              <w:rPr>
                <w:sz w:val="20"/>
              </w:rPr>
              <w:t xml:space="preserve">человек</w:t>
            </w:r>
          </w:p>
        </w:tc>
        <w:tc>
          <w:tcPr>
            <w:tcW w:w="1077" w:type="dxa"/>
          </w:tcPr>
          <w:p>
            <w:pPr>
              <w:pStyle w:val="0"/>
              <w:jc w:val="center"/>
            </w:pPr>
            <w:r>
              <w:rPr>
                <w:sz w:val="20"/>
              </w:rPr>
              <w:t xml:space="preserve">56</w:t>
            </w:r>
          </w:p>
        </w:tc>
        <w:tc>
          <w:tcPr>
            <w:tcW w:w="1077" w:type="dxa"/>
          </w:tcPr>
          <w:p>
            <w:pPr>
              <w:pStyle w:val="0"/>
              <w:jc w:val="center"/>
            </w:pPr>
            <w:r>
              <w:rPr>
                <w:sz w:val="20"/>
              </w:rPr>
              <w:t xml:space="preserve">56</w:t>
            </w:r>
          </w:p>
        </w:tc>
        <w:tc>
          <w:tcPr>
            <w:tcW w:w="1077" w:type="dxa"/>
          </w:tcPr>
          <w:p>
            <w:pPr>
              <w:pStyle w:val="0"/>
              <w:jc w:val="center"/>
            </w:pPr>
            <w:r>
              <w:rPr>
                <w:sz w:val="20"/>
              </w:rPr>
              <w:t xml:space="preserve">56</w:t>
            </w:r>
          </w:p>
        </w:tc>
      </w:tr>
      <w:tr>
        <w:tc>
          <w:tcPr>
            <w:tcW w:w="624" w:type="dxa"/>
          </w:tcPr>
          <w:p>
            <w:pPr>
              <w:pStyle w:val="0"/>
              <w:jc w:val="center"/>
            </w:pPr>
            <w:r>
              <w:rPr>
                <w:sz w:val="20"/>
              </w:rPr>
              <w:t xml:space="preserve">18.</w:t>
            </w:r>
          </w:p>
        </w:tc>
        <w:tc>
          <w:tcPr>
            <w:tcW w:w="2608" w:type="dxa"/>
          </w:tcPr>
          <w:p>
            <w:pPr>
              <w:pStyle w:val="0"/>
            </w:pPr>
            <w:r>
              <w:rPr>
                <w:sz w:val="20"/>
              </w:rPr>
              <w:t xml:space="preserve">Субсидии из областного бюджета бюджетам муниципальных образований Владимирской области на приведение муниципальных учреждений спортивной подготовки в нормативное состояние</w:t>
            </w:r>
          </w:p>
        </w:tc>
        <w:tc>
          <w:tcPr>
            <w:tcW w:w="1644"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1247" w:type="dxa"/>
          </w:tcPr>
          <w:p>
            <w:pPr>
              <w:pStyle w:val="0"/>
            </w:pPr>
            <w:r>
              <w:rPr>
                <w:sz w:val="20"/>
              </w:rPr>
              <w:t xml:space="preserve">Департамент физической культуры и спорта Владимирской области</w:t>
            </w:r>
          </w:p>
        </w:tc>
        <w:tc>
          <w:tcPr>
            <w:tcW w:w="3515" w:type="dxa"/>
          </w:tcPr>
          <w:p>
            <w:pPr>
              <w:pStyle w:val="0"/>
            </w:pPr>
            <w:r>
              <w:rPr>
                <w:sz w:val="20"/>
              </w:rPr>
              <w:t xml:space="preserve">Доля занимающихся по программам спортивной подготовки в организациях ведомственной принадлежности физической культуры и спорта в общем количестве занимающихся в организациях ведомственной принадлежности физической культуры и спорта</w:t>
            </w:r>
          </w:p>
        </w:tc>
        <w:tc>
          <w:tcPr>
            <w:tcW w:w="737" w:type="dxa"/>
          </w:tcPr>
          <w:p>
            <w:pPr>
              <w:pStyle w:val="0"/>
            </w:pPr>
            <w:r>
              <w:rPr>
                <w:sz w:val="20"/>
              </w:rPr>
              <w:t xml:space="preserve">%</w:t>
            </w:r>
          </w:p>
        </w:tc>
        <w:tc>
          <w:tcPr>
            <w:tcW w:w="1077" w:type="dxa"/>
          </w:tcPr>
          <w:p>
            <w:pPr>
              <w:pStyle w:val="0"/>
              <w:jc w:val="center"/>
            </w:pPr>
            <w:r>
              <w:rPr>
                <w:sz w:val="20"/>
              </w:rPr>
              <w:t xml:space="preserve">100</w:t>
            </w:r>
          </w:p>
        </w:tc>
        <w:tc>
          <w:tcPr>
            <w:tcW w:w="1077" w:type="dxa"/>
          </w:tcPr>
          <w:p>
            <w:pPr>
              <w:pStyle w:val="0"/>
              <w:jc w:val="center"/>
            </w:pPr>
            <w:r>
              <w:rPr>
                <w:sz w:val="20"/>
              </w:rPr>
              <w:t xml:space="preserve">100</w:t>
            </w:r>
          </w:p>
        </w:tc>
        <w:tc>
          <w:tcPr>
            <w:tcW w:w="1077" w:type="dxa"/>
          </w:tcPr>
          <w:p>
            <w:pPr>
              <w:pStyle w:val="0"/>
              <w:jc w:val="center"/>
            </w:pPr>
            <w:r>
              <w:rPr>
                <w:sz w:val="20"/>
              </w:rPr>
              <w:t xml:space="preserve">100</w:t>
            </w:r>
          </w:p>
        </w:tc>
      </w:tr>
      <w:tr>
        <w:tc>
          <w:tcPr>
            <w:tcW w:w="624" w:type="dxa"/>
          </w:tcPr>
          <w:p>
            <w:pPr>
              <w:pStyle w:val="0"/>
              <w:jc w:val="center"/>
            </w:pPr>
            <w:r>
              <w:rPr>
                <w:sz w:val="20"/>
              </w:rPr>
              <w:t xml:space="preserve">19.</w:t>
            </w:r>
          </w:p>
        </w:tc>
        <w:tc>
          <w:tcPr>
            <w:tcW w:w="2608" w:type="dxa"/>
          </w:tcPr>
          <w:p>
            <w:pPr>
              <w:pStyle w:val="0"/>
            </w:pPr>
            <w:r>
              <w:rPr>
                <w:sz w:val="20"/>
              </w:rPr>
              <w:t xml:space="preserve">Субсидии на создание и модернизацию объектов спортивной инфраструктуры муниципальной собственности для занятий физической культурой и спортом (за счет средств областного бюджета)</w:t>
            </w:r>
          </w:p>
        </w:tc>
        <w:tc>
          <w:tcPr>
            <w:tcW w:w="1644"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1247" w:type="dxa"/>
          </w:tcPr>
          <w:p>
            <w:pPr>
              <w:pStyle w:val="0"/>
            </w:pPr>
            <w:r>
              <w:rPr>
                <w:sz w:val="20"/>
              </w:rPr>
              <w:t xml:space="preserve">Департамент физической культуры и спорта Владимирской области</w:t>
            </w:r>
          </w:p>
        </w:tc>
        <w:tc>
          <w:tcPr>
            <w:tcW w:w="3515" w:type="dxa"/>
          </w:tcPr>
          <w:p>
            <w:pPr>
              <w:pStyle w:val="0"/>
            </w:pPr>
            <w:r>
              <w:rPr>
                <w:sz w:val="20"/>
              </w:rPr>
              <w:t xml:space="preserve">Построены и введены в эксплуатацию объекты спорта муниципальной собственности</w:t>
            </w:r>
          </w:p>
        </w:tc>
        <w:tc>
          <w:tcPr>
            <w:tcW w:w="737" w:type="dxa"/>
          </w:tcPr>
          <w:p>
            <w:pPr>
              <w:pStyle w:val="0"/>
            </w:pPr>
            <w:r>
              <w:rPr>
                <w:sz w:val="20"/>
              </w:rPr>
              <w:t xml:space="preserve">единица</w:t>
            </w:r>
          </w:p>
        </w:tc>
        <w:tc>
          <w:tcPr>
            <w:tcW w:w="1077" w:type="dxa"/>
          </w:tcPr>
          <w:p>
            <w:pPr>
              <w:pStyle w:val="0"/>
              <w:jc w:val="center"/>
            </w:pPr>
            <w:r>
              <w:rPr>
                <w:sz w:val="20"/>
              </w:rPr>
              <w:t xml:space="preserve">2</w:t>
            </w:r>
          </w:p>
        </w:tc>
        <w:tc>
          <w:tcPr>
            <w:tcW w:w="1077" w:type="dxa"/>
          </w:tcPr>
          <w:p>
            <w:pPr>
              <w:pStyle w:val="0"/>
              <w:jc w:val="center"/>
            </w:pPr>
            <w:r>
              <w:rPr>
                <w:sz w:val="20"/>
              </w:rPr>
              <w:t xml:space="preserve">1</w:t>
            </w:r>
          </w:p>
        </w:tc>
        <w:tc>
          <w:tcPr>
            <w:tcW w:w="1077" w:type="dxa"/>
          </w:tcPr>
          <w:p>
            <w:pPr>
              <w:pStyle w:val="0"/>
              <w:jc w:val="center"/>
            </w:pPr>
            <w:r>
              <w:rPr>
                <w:sz w:val="20"/>
              </w:rPr>
              <w:t xml:space="preserve">1</w:t>
            </w:r>
          </w:p>
        </w:tc>
      </w:tr>
      <w:tr>
        <w:tc>
          <w:tcPr>
            <w:tcW w:w="624" w:type="dxa"/>
          </w:tcPr>
          <w:p>
            <w:pPr>
              <w:pStyle w:val="0"/>
              <w:jc w:val="center"/>
            </w:pPr>
            <w:r>
              <w:rPr>
                <w:sz w:val="20"/>
              </w:rPr>
              <w:t xml:space="preserve">20.</w:t>
            </w:r>
          </w:p>
        </w:tc>
        <w:tc>
          <w:tcPr>
            <w:tcW w:w="2608" w:type="dxa"/>
          </w:tcPr>
          <w:p>
            <w:pPr>
              <w:pStyle w:val="0"/>
            </w:pPr>
            <w:r>
              <w:rPr>
                <w:sz w:val="20"/>
              </w:rPr>
              <w:t xml:space="preserve">Субсидия на развитие базовых и олимпийских видов спорта в МБУ г. Коврова "СШОР дзюдо, самбо им. А.М. Рыбина"</w:t>
            </w:r>
          </w:p>
        </w:tc>
        <w:tc>
          <w:tcPr>
            <w:tcW w:w="1644"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1247" w:type="dxa"/>
          </w:tcPr>
          <w:p>
            <w:pPr>
              <w:pStyle w:val="0"/>
            </w:pPr>
            <w:r>
              <w:rPr>
                <w:sz w:val="20"/>
              </w:rPr>
              <w:t xml:space="preserve">Департамент физической культуры и спорта Владимирской области</w:t>
            </w:r>
          </w:p>
        </w:tc>
        <w:tc>
          <w:tcPr>
            <w:tcW w:w="3515" w:type="dxa"/>
          </w:tcPr>
          <w:p>
            <w:pPr>
              <w:pStyle w:val="0"/>
            </w:pPr>
            <w:r>
              <w:rPr>
                <w:sz w:val="20"/>
              </w:rPr>
              <w:t xml:space="preserve">Доля занимающихся по программам спортивной подготовки в МБУ г. Коврова "СШОР дзюдо, самбо им. А.М. Рыбина" на этапе совершенствования спортивного мастерства от общего количества</w:t>
            </w:r>
          </w:p>
        </w:tc>
        <w:tc>
          <w:tcPr>
            <w:tcW w:w="737" w:type="dxa"/>
          </w:tcPr>
          <w:p>
            <w:pPr>
              <w:pStyle w:val="0"/>
            </w:pPr>
            <w:r>
              <w:rPr>
                <w:sz w:val="20"/>
              </w:rPr>
              <w:t xml:space="preserve">%</w:t>
            </w:r>
          </w:p>
        </w:tc>
        <w:tc>
          <w:tcPr>
            <w:tcW w:w="1077" w:type="dxa"/>
          </w:tcPr>
          <w:p>
            <w:pPr>
              <w:pStyle w:val="0"/>
              <w:jc w:val="center"/>
            </w:pPr>
            <w:r>
              <w:rPr>
                <w:sz w:val="20"/>
              </w:rPr>
              <w:t xml:space="preserve">4,5</w:t>
            </w:r>
          </w:p>
        </w:tc>
        <w:tc>
          <w:tcPr>
            <w:tcW w:w="1077" w:type="dxa"/>
          </w:tcPr>
          <w:p>
            <w:pPr>
              <w:pStyle w:val="0"/>
              <w:jc w:val="center"/>
            </w:pPr>
            <w:r>
              <w:rPr>
                <w:sz w:val="20"/>
              </w:rPr>
              <w:t xml:space="preserve">4,5</w:t>
            </w:r>
          </w:p>
        </w:tc>
        <w:tc>
          <w:tcPr>
            <w:tcW w:w="1077" w:type="dxa"/>
          </w:tcPr>
          <w:p>
            <w:pPr>
              <w:pStyle w:val="0"/>
              <w:jc w:val="center"/>
            </w:pPr>
            <w:r>
              <w:rPr>
                <w:sz w:val="20"/>
              </w:rPr>
              <w:t xml:space="preserve">4,5</w:t>
            </w:r>
          </w:p>
        </w:tc>
      </w:tr>
      <w:tr>
        <w:tc>
          <w:tcPr>
            <w:tcW w:w="624" w:type="dxa"/>
          </w:tcPr>
          <w:p>
            <w:pPr>
              <w:pStyle w:val="0"/>
              <w:jc w:val="center"/>
            </w:pPr>
            <w:r>
              <w:rPr>
                <w:sz w:val="20"/>
              </w:rPr>
              <w:t xml:space="preserve">21.</w:t>
            </w:r>
          </w:p>
        </w:tc>
        <w:tc>
          <w:tcPr>
            <w:tcW w:w="2608" w:type="dxa"/>
          </w:tcPr>
          <w:p>
            <w:pPr>
              <w:pStyle w:val="0"/>
            </w:pPr>
            <w:r>
              <w:rPr>
                <w:sz w:val="20"/>
              </w:rPr>
              <w:t xml:space="preserve">Субсидия на развитие спортивной и художественной гимнастики в административном центре Владимирской области</w:t>
            </w:r>
          </w:p>
        </w:tc>
        <w:tc>
          <w:tcPr>
            <w:tcW w:w="1644"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1247" w:type="dxa"/>
          </w:tcPr>
          <w:p>
            <w:pPr>
              <w:pStyle w:val="0"/>
            </w:pPr>
            <w:r>
              <w:rPr>
                <w:sz w:val="20"/>
              </w:rPr>
              <w:t xml:space="preserve">Департамент физической культуры и спорта Владимирской области</w:t>
            </w:r>
          </w:p>
        </w:tc>
        <w:tc>
          <w:tcPr>
            <w:tcW w:w="3515" w:type="dxa"/>
          </w:tcPr>
          <w:p>
            <w:pPr>
              <w:pStyle w:val="0"/>
            </w:pPr>
            <w:r>
              <w:rPr>
                <w:sz w:val="20"/>
              </w:rPr>
              <w:t xml:space="preserve">Доля занимающихся по программам спортивной подготовки в СШОР на этапе совершенствования спортивного мастерства от общего количества</w:t>
            </w:r>
          </w:p>
        </w:tc>
        <w:tc>
          <w:tcPr>
            <w:tcW w:w="737" w:type="dxa"/>
          </w:tcPr>
          <w:p>
            <w:pPr>
              <w:pStyle w:val="0"/>
            </w:pPr>
            <w:r>
              <w:rPr>
                <w:sz w:val="20"/>
              </w:rPr>
              <w:t xml:space="preserve">%</w:t>
            </w:r>
          </w:p>
        </w:tc>
        <w:tc>
          <w:tcPr>
            <w:tcW w:w="1077" w:type="dxa"/>
          </w:tcPr>
          <w:p>
            <w:pPr>
              <w:pStyle w:val="0"/>
              <w:jc w:val="center"/>
            </w:pPr>
            <w:r>
              <w:rPr>
                <w:sz w:val="20"/>
              </w:rPr>
              <w:t xml:space="preserve">7,9</w:t>
            </w:r>
          </w:p>
        </w:tc>
        <w:tc>
          <w:tcPr>
            <w:tcW w:w="1077" w:type="dxa"/>
          </w:tcPr>
          <w:p>
            <w:pPr>
              <w:pStyle w:val="0"/>
              <w:jc w:val="center"/>
            </w:pPr>
            <w:r>
              <w:rPr>
                <w:sz w:val="20"/>
              </w:rPr>
              <w:t xml:space="preserve">7,9</w:t>
            </w:r>
          </w:p>
        </w:tc>
        <w:tc>
          <w:tcPr>
            <w:tcW w:w="1077" w:type="dxa"/>
          </w:tcPr>
          <w:p>
            <w:pPr>
              <w:pStyle w:val="0"/>
              <w:jc w:val="center"/>
            </w:pPr>
            <w:r>
              <w:rPr>
                <w:sz w:val="20"/>
              </w:rPr>
              <w:t xml:space="preserve">7,9</w:t>
            </w:r>
          </w:p>
        </w:tc>
      </w:tr>
      <w:tr>
        <w:tc>
          <w:tcPr>
            <w:tcW w:w="624" w:type="dxa"/>
          </w:tcPr>
          <w:p>
            <w:pPr>
              <w:pStyle w:val="0"/>
              <w:jc w:val="center"/>
            </w:pPr>
            <w:r>
              <w:rPr>
                <w:sz w:val="20"/>
              </w:rPr>
              <w:t xml:space="preserve">22.</w:t>
            </w:r>
          </w:p>
        </w:tc>
        <w:tc>
          <w:tcPr>
            <w:tcW w:w="2608" w:type="dxa"/>
          </w:tcPr>
          <w:p>
            <w:pPr>
              <w:pStyle w:val="0"/>
            </w:pPr>
            <w:r>
              <w:rPr>
                <w:sz w:val="20"/>
              </w:rPr>
              <w:t xml:space="preserve">Создание и модернизация объектов спортивной инфраструктуры муниципальной собственности для занятий физической культурой и спортом (в том числе за счет средств федерального бюджета)</w:t>
            </w:r>
          </w:p>
        </w:tc>
        <w:tc>
          <w:tcPr>
            <w:tcW w:w="1644"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1247" w:type="dxa"/>
          </w:tcPr>
          <w:p>
            <w:pPr>
              <w:pStyle w:val="0"/>
            </w:pPr>
            <w:r>
              <w:rPr>
                <w:sz w:val="20"/>
              </w:rPr>
              <w:t xml:space="preserve">Департамент физической культуры и спорта Владимирской области</w:t>
            </w:r>
          </w:p>
        </w:tc>
        <w:tc>
          <w:tcPr>
            <w:tcW w:w="3515" w:type="dxa"/>
          </w:tcPr>
          <w:p>
            <w:pPr>
              <w:pStyle w:val="0"/>
            </w:pPr>
            <w:r>
              <w:rPr>
                <w:sz w:val="20"/>
              </w:rPr>
              <w:t xml:space="preserve">Построены и введены в эксплуатацию объекты спорта муниципальной собственности</w:t>
            </w:r>
          </w:p>
        </w:tc>
        <w:tc>
          <w:tcPr>
            <w:tcW w:w="737" w:type="dxa"/>
          </w:tcPr>
          <w:p>
            <w:pPr>
              <w:pStyle w:val="0"/>
            </w:pPr>
            <w:r>
              <w:rPr>
                <w:sz w:val="20"/>
              </w:rPr>
              <w:t xml:space="preserve">единица</w:t>
            </w:r>
          </w:p>
        </w:tc>
        <w:tc>
          <w:tcPr>
            <w:tcW w:w="1077" w:type="dxa"/>
          </w:tcPr>
          <w:p>
            <w:pPr>
              <w:pStyle w:val="0"/>
              <w:jc w:val="center"/>
            </w:pPr>
            <w:r>
              <w:rPr>
                <w:sz w:val="20"/>
              </w:rPr>
              <w:t xml:space="preserve">1</w:t>
            </w:r>
          </w:p>
        </w:tc>
        <w:tc>
          <w:tcPr>
            <w:tcW w:w="1077" w:type="dxa"/>
          </w:tcPr>
          <w:p>
            <w:pPr>
              <w:pStyle w:val="0"/>
              <w:jc w:val="center"/>
            </w:pPr>
            <w:r>
              <w:rPr>
                <w:sz w:val="20"/>
              </w:rPr>
              <w:t xml:space="preserve">1</w:t>
            </w:r>
          </w:p>
        </w:tc>
        <w:tc>
          <w:tcPr>
            <w:tcW w:w="1077" w:type="dxa"/>
          </w:tcPr>
          <w:p>
            <w:pPr>
              <w:pStyle w:val="0"/>
              <w:jc w:val="center"/>
            </w:pPr>
            <w:r>
              <w:rPr>
                <w:sz w:val="20"/>
              </w:rPr>
              <w:t xml:space="preserve">0</w:t>
            </w:r>
          </w:p>
        </w:tc>
      </w:tr>
      <w:tr>
        <w:tc>
          <w:tcPr>
            <w:tcW w:w="624" w:type="dxa"/>
          </w:tcPr>
          <w:p>
            <w:pPr>
              <w:pStyle w:val="0"/>
              <w:jc w:val="center"/>
            </w:pPr>
            <w:r>
              <w:rPr>
                <w:sz w:val="20"/>
              </w:rPr>
              <w:t xml:space="preserve">23.</w:t>
            </w:r>
          </w:p>
        </w:tc>
        <w:tc>
          <w:tcPr>
            <w:tcW w:w="2608" w:type="dxa"/>
          </w:tcPr>
          <w:p>
            <w:pPr>
              <w:pStyle w:val="0"/>
            </w:pPr>
            <w:r>
              <w:rPr>
                <w:sz w:val="20"/>
              </w:rPr>
              <w:t xml:space="preserve">Субсидия на развитие базовых и олимпийских видов спорта в муниципальном бюджетном учреждении "Спортивная школа олимпийского резерва имени А.А. Прокуророва"</w:t>
            </w:r>
          </w:p>
        </w:tc>
        <w:tc>
          <w:tcPr>
            <w:tcW w:w="1644"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1247" w:type="dxa"/>
          </w:tcPr>
          <w:p>
            <w:pPr>
              <w:pStyle w:val="0"/>
            </w:pPr>
            <w:r>
              <w:rPr>
                <w:sz w:val="20"/>
              </w:rPr>
              <w:t xml:space="preserve">Департамент физической культуры и спорта Владимирской области</w:t>
            </w:r>
          </w:p>
        </w:tc>
        <w:tc>
          <w:tcPr>
            <w:tcW w:w="3515" w:type="dxa"/>
          </w:tcPr>
          <w:p>
            <w:pPr>
              <w:pStyle w:val="0"/>
            </w:pPr>
            <w:r>
              <w:rPr>
                <w:sz w:val="20"/>
              </w:rPr>
              <w:t xml:space="preserve">Доля занимающихся по программам спортивной подготовки в муниципальном бюджетном учреждении "Спортивная школа олимпийского резерва имени А.А. Прокуророва" на этапе совершенствования спортивного мастерства от общего количества занимающихся по программам спортивной подготовки в учреждении</w:t>
            </w:r>
          </w:p>
        </w:tc>
        <w:tc>
          <w:tcPr>
            <w:tcW w:w="737" w:type="dxa"/>
          </w:tcPr>
          <w:p>
            <w:pPr>
              <w:pStyle w:val="0"/>
            </w:pPr>
            <w:r>
              <w:rPr>
                <w:sz w:val="20"/>
              </w:rPr>
              <w:t xml:space="preserve">%</w:t>
            </w:r>
          </w:p>
        </w:tc>
        <w:tc>
          <w:tcPr>
            <w:tcW w:w="1077" w:type="dxa"/>
          </w:tcPr>
          <w:p>
            <w:pPr>
              <w:pStyle w:val="0"/>
              <w:jc w:val="center"/>
            </w:pPr>
            <w:r>
              <w:rPr>
                <w:sz w:val="20"/>
              </w:rPr>
              <w:t xml:space="preserve">2</w:t>
            </w:r>
          </w:p>
        </w:tc>
        <w:tc>
          <w:tcPr>
            <w:tcW w:w="1077" w:type="dxa"/>
          </w:tcPr>
          <w:p>
            <w:pPr>
              <w:pStyle w:val="0"/>
              <w:jc w:val="center"/>
            </w:pPr>
            <w:r>
              <w:rPr>
                <w:sz w:val="20"/>
              </w:rPr>
              <w:t xml:space="preserve">2</w:t>
            </w:r>
          </w:p>
        </w:tc>
        <w:tc>
          <w:tcPr>
            <w:tcW w:w="1077" w:type="dxa"/>
          </w:tcPr>
          <w:p>
            <w:pPr>
              <w:pStyle w:val="0"/>
              <w:jc w:val="center"/>
            </w:pPr>
            <w:r>
              <w:rPr>
                <w:sz w:val="20"/>
              </w:rPr>
              <w:t xml:space="preserve">2</w:t>
            </w:r>
          </w:p>
        </w:tc>
      </w:tr>
      <w:tr>
        <w:tc>
          <w:tcPr>
            <w:tcW w:w="624" w:type="dxa"/>
          </w:tcPr>
          <w:p>
            <w:pPr>
              <w:pStyle w:val="0"/>
              <w:jc w:val="center"/>
            </w:pPr>
            <w:r>
              <w:rPr>
                <w:sz w:val="20"/>
              </w:rPr>
              <w:t xml:space="preserve">24.</w:t>
            </w:r>
          </w:p>
        </w:tc>
        <w:tc>
          <w:tcPr>
            <w:tcW w:w="2608" w:type="dxa"/>
          </w:tcPr>
          <w:p>
            <w:pPr>
              <w:pStyle w:val="0"/>
            </w:pPr>
            <w:r>
              <w:rPr>
                <w:sz w:val="20"/>
              </w:rPr>
              <w:t xml:space="preserve">Иные межбюджетные трансферты на содержание объектов спортивной инфраструктуры муниципальной собственности для занятий физической культурой и спортом</w:t>
            </w:r>
          </w:p>
        </w:tc>
        <w:tc>
          <w:tcPr>
            <w:tcW w:w="1644" w:type="dxa"/>
          </w:tcPr>
          <w:p>
            <w:pPr>
              <w:pStyle w:val="0"/>
            </w:pPr>
            <w:r>
              <w:rPr>
                <w:sz w:val="20"/>
              </w:rPr>
              <w:t xml:space="preserve">Государственная программа Владимирской области "Развитие физической культуры и спорта во Владимирской области"</w:t>
            </w:r>
          </w:p>
        </w:tc>
        <w:tc>
          <w:tcPr>
            <w:tcW w:w="1247" w:type="dxa"/>
          </w:tcPr>
          <w:p>
            <w:pPr>
              <w:pStyle w:val="0"/>
            </w:pPr>
            <w:r>
              <w:rPr>
                <w:sz w:val="20"/>
              </w:rPr>
              <w:t xml:space="preserve">Департамент физической культуры и спорта Владимирской области</w:t>
            </w:r>
          </w:p>
        </w:tc>
        <w:tc>
          <w:tcPr>
            <w:tcW w:w="3515" w:type="dxa"/>
          </w:tcPr>
          <w:p>
            <w:pPr>
              <w:pStyle w:val="0"/>
            </w:pPr>
            <w:r>
              <w:rPr>
                <w:sz w:val="20"/>
              </w:rPr>
              <w:t xml:space="preserve">Численность занимающихся физической культурой и спортом в муниципальном образовании</w:t>
            </w:r>
          </w:p>
        </w:tc>
        <w:tc>
          <w:tcPr>
            <w:tcW w:w="737" w:type="dxa"/>
          </w:tcPr>
          <w:p>
            <w:pPr>
              <w:pStyle w:val="0"/>
            </w:pPr>
            <w:r>
              <w:rPr>
                <w:sz w:val="20"/>
              </w:rPr>
              <w:t xml:space="preserve">человек</w:t>
            </w:r>
          </w:p>
        </w:tc>
        <w:tc>
          <w:tcPr>
            <w:tcW w:w="1077" w:type="dxa"/>
          </w:tcPr>
          <w:p>
            <w:pPr>
              <w:pStyle w:val="0"/>
              <w:jc w:val="center"/>
            </w:pPr>
            <w:r>
              <w:rPr>
                <w:sz w:val="20"/>
              </w:rPr>
              <w:t xml:space="preserve">653512</w:t>
            </w:r>
          </w:p>
        </w:tc>
        <w:tc>
          <w:tcPr>
            <w:tcW w:w="1077" w:type="dxa"/>
          </w:tcPr>
          <w:p>
            <w:pPr>
              <w:pStyle w:val="0"/>
              <w:jc w:val="center"/>
            </w:pPr>
            <w:r>
              <w:rPr>
                <w:sz w:val="20"/>
              </w:rPr>
              <w:t xml:space="preserve">682473</w:t>
            </w:r>
          </w:p>
        </w:tc>
        <w:tc>
          <w:tcPr>
            <w:tcW w:w="1077" w:type="dxa"/>
          </w:tcPr>
          <w:p>
            <w:pPr>
              <w:pStyle w:val="0"/>
              <w:jc w:val="center"/>
            </w:pPr>
            <w:r>
              <w:rPr>
                <w:sz w:val="20"/>
              </w:rPr>
              <w:t xml:space="preserve">708916</w:t>
            </w:r>
          </w:p>
        </w:tc>
      </w:tr>
      <w:tr>
        <w:tc>
          <w:tcPr>
            <w:tcW w:w="624" w:type="dxa"/>
            <w:vMerge w:val="restart"/>
          </w:tcPr>
          <w:p>
            <w:pPr>
              <w:pStyle w:val="0"/>
              <w:jc w:val="center"/>
            </w:pPr>
            <w:r>
              <w:rPr>
                <w:sz w:val="20"/>
              </w:rPr>
              <w:t xml:space="preserve">25.</w:t>
            </w:r>
          </w:p>
        </w:tc>
        <w:tc>
          <w:tcPr>
            <w:tcW w:w="2608" w:type="dxa"/>
            <w:vMerge w:val="restart"/>
          </w:tcPr>
          <w:p>
            <w:pPr>
              <w:pStyle w:val="0"/>
            </w:pPr>
            <w:r>
              <w:rPr>
                <w:sz w:val="20"/>
              </w:rPr>
              <w:t xml:space="preserve">Субсидии на поддержку приоритетных направлений развития отрасли образования</w:t>
            </w:r>
          </w:p>
        </w:tc>
        <w:tc>
          <w:tcPr>
            <w:tcW w:w="1644" w:type="dxa"/>
            <w:vMerge w:val="restart"/>
          </w:tcPr>
          <w:p>
            <w:pPr>
              <w:pStyle w:val="0"/>
            </w:pPr>
            <w:r>
              <w:rPr>
                <w:sz w:val="20"/>
              </w:rPr>
              <w:t xml:space="preserve">Государственная программа Владимирской области "Развитие образования"</w:t>
            </w:r>
          </w:p>
        </w:tc>
        <w:tc>
          <w:tcPr>
            <w:tcW w:w="1247" w:type="dxa"/>
            <w:vMerge w:val="restart"/>
          </w:tcPr>
          <w:p>
            <w:pPr>
              <w:pStyle w:val="0"/>
            </w:pPr>
            <w:r>
              <w:rPr>
                <w:sz w:val="20"/>
              </w:rPr>
              <w:t xml:space="preserve">Департамент образования Владимирской области</w:t>
            </w:r>
          </w:p>
        </w:tc>
        <w:tc>
          <w:tcPr>
            <w:tcW w:w="3515" w:type="dxa"/>
          </w:tcPr>
          <w:p>
            <w:pPr>
              <w:pStyle w:val="0"/>
            </w:pPr>
            <w:r>
              <w:rPr>
                <w:sz w:val="20"/>
              </w:rPr>
              <w:t xml:space="preserve">Доля обучающихся, получающих начальное общее образование в частных образовательных организациях, которым предоставлено бесплатное горячее питание, к общему количеству обучающихся, получающих начальное общее образование в частных образовательных организациях</w:t>
            </w:r>
          </w:p>
        </w:tc>
        <w:tc>
          <w:tcPr>
            <w:tcW w:w="737" w:type="dxa"/>
          </w:tcPr>
          <w:p>
            <w:pPr>
              <w:pStyle w:val="0"/>
            </w:pPr>
            <w:r>
              <w:rPr>
                <w:sz w:val="20"/>
              </w:rPr>
              <w:t xml:space="preserve">%</w:t>
            </w:r>
          </w:p>
        </w:tc>
        <w:tc>
          <w:tcPr>
            <w:tcW w:w="1077" w:type="dxa"/>
          </w:tcPr>
          <w:p>
            <w:pPr>
              <w:pStyle w:val="0"/>
              <w:jc w:val="center"/>
            </w:pPr>
            <w:r>
              <w:rPr>
                <w:sz w:val="20"/>
              </w:rPr>
              <w:t xml:space="preserve">100</w:t>
            </w:r>
          </w:p>
        </w:tc>
        <w:tc>
          <w:tcPr>
            <w:tcW w:w="1077" w:type="dxa"/>
          </w:tcPr>
          <w:p>
            <w:pPr>
              <w:pStyle w:val="0"/>
              <w:jc w:val="center"/>
            </w:pPr>
            <w:r>
              <w:rPr>
                <w:sz w:val="20"/>
              </w:rPr>
              <w:t xml:space="preserve">100</w:t>
            </w:r>
          </w:p>
        </w:tc>
        <w:tc>
          <w:tcPr>
            <w:tcW w:w="1077" w:type="dxa"/>
          </w:tcPr>
          <w:p>
            <w:pPr>
              <w:pStyle w:val="0"/>
              <w:jc w:val="center"/>
            </w:pPr>
            <w:r>
              <w:rPr>
                <w:sz w:val="20"/>
              </w:rPr>
              <w:t xml:space="preserve">100</w:t>
            </w:r>
          </w:p>
        </w:tc>
      </w:tr>
      <w:tr>
        <w:tc>
          <w:tcPr>
            <w:vMerge w:val="continue"/>
          </w:tcPr>
          <w:p/>
        </w:tc>
        <w:tc>
          <w:tcPr>
            <w:vMerge w:val="continue"/>
          </w:tcPr>
          <w:p/>
        </w:tc>
        <w:tc>
          <w:tcPr>
            <w:vMerge w:val="continue"/>
          </w:tcPr>
          <w:p/>
        </w:tc>
        <w:tc>
          <w:tcPr>
            <w:vMerge w:val="continue"/>
          </w:tcPr>
          <w:p/>
        </w:tc>
        <w:tc>
          <w:tcPr>
            <w:tcW w:w="3515" w:type="dxa"/>
          </w:tcPr>
          <w:p>
            <w:pPr>
              <w:pStyle w:val="0"/>
            </w:pPr>
            <w:r>
              <w:rPr>
                <w:sz w:val="20"/>
              </w:rPr>
              <w:t xml:space="preserve">Удельный вес детей школьного возраста, подлежащих отдыху в организациях отдыха детей и их оздоровления в каникулярный период за счет средств субсидии из областного бюджета бюджетам муниципальных образований на организацию отдыха детей в каникулярное время (к общему числу детей от 7 до 17 лет)</w:t>
            </w:r>
          </w:p>
        </w:tc>
        <w:tc>
          <w:tcPr>
            <w:tcW w:w="737" w:type="dxa"/>
          </w:tcPr>
          <w:p>
            <w:pPr>
              <w:pStyle w:val="0"/>
            </w:pPr>
            <w:r>
              <w:rPr>
                <w:sz w:val="20"/>
              </w:rPr>
              <w:t xml:space="preserve">%</w:t>
            </w:r>
          </w:p>
        </w:tc>
        <w:tc>
          <w:tcPr>
            <w:tcW w:w="1077" w:type="dxa"/>
          </w:tcPr>
          <w:p>
            <w:pPr>
              <w:pStyle w:val="0"/>
              <w:jc w:val="center"/>
            </w:pPr>
            <w:r>
              <w:rPr>
                <w:sz w:val="20"/>
              </w:rPr>
              <w:t xml:space="preserve">48</w:t>
            </w:r>
          </w:p>
        </w:tc>
        <w:tc>
          <w:tcPr>
            <w:tcW w:w="1077" w:type="dxa"/>
          </w:tcPr>
          <w:p>
            <w:pPr>
              <w:pStyle w:val="0"/>
              <w:jc w:val="center"/>
            </w:pPr>
            <w:r>
              <w:rPr>
                <w:sz w:val="20"/>
              </w:rPr>
              <w:t xml:space="preserve">48</w:t>
            </w:r>
          </w:p>
        </w:tc>
        <w:tc>
          <w:tcPr>
            <w:tcW w:w="1077" w:type="dxa"/>
          </w:tcPr>
          <w:p>
            <w:pPr>
              <w:pStyle w:val="0"/>
              <w:jc w:val="center"/>
            </w:pPr>
            <w:r>
              <w:rPr>
                <w:sz w:val="20"/>
              </w:rPr>
              <w:t xml:space="preserve">48</w:t>
            </w:r>
          </w:p>
        </w:tc>
      </w:tr>
      <w:tr>
        <w:tc>
          <w:tcPr>
            <w:vMerge w:val="continue"/>
          </w:tcPr>
          <w:p/>
        </w:tc>
        <w:tc>
          <w:tcPr>
            <w:vMerge w:val="continue"/>
          </w:tcPr>
          <w:p/>
        </w:tc>
        <w:tc>
          <w:tcPr>
            <w:vMerge w:val="continue"/>
          </w:tcPr>
          <w:p/>
        </w:tc>
        <w:tc>
          <w:tcPr>
            <w:vMerge w:val="continue"/>
          </w:tcPr>
          <w:p/>
        </w:tc>
        <w:tc>
          <w:tcPr>
            <w:tcW w:w="3515" w:type="dxa"/>
          </w:tcPr>
          <w:p>
            <w:pPr>
              <w:pStyle w:val="0"/>
            </w:pPr>
            <w:r>
              <w:rPr>
                <w:sz w:val="20"/>
              </w:rPr>
              <w:t xml:space="preserve">Удельный вес обучающихся в организациях по образовательным программам начального общего, основного общего, среднего общего образования, подлежащих культурно-экскурсионному обслуживанию в каникулярный период за счет средств субсидий из областного бюджета бюджетам муниципальных образований на организацию отдыха детей в каникулярное время (к общему числу обучающихся 1 - 11 классов в организациях по образовательным программам начального общего, основного общего, среднего общего образования)</w:t>
            </w:r>
          </w:p>
        </w:tc>
        <w:tc>
          <w:tcPr>
            <w:tcW w:w="737" w:type="dxa"/>
          </w:tcPr>
          <w:p>
            <w:pPr>
              <w:pStyle w:val="0"/>
            </w:pPr>
            <w:r>
              <w:rPr>
                <w:sz w:val="20"/>
              </w:rPr>
              <w:t xml:space="preserve">%</w:t>
            </w:r>
          </w:p>
        </w:tc>
        <w:tc>
          <w:tcPr>
            <w:tcW w:w="1077" w:type="dxa"/>
          </w:tcPr>
          <w:p>
            <w:pPr>
              <w:pStyle w:val="0"/>
              <w:jc w:val="center"/>
            </w:pPr>
            <w:r>
              <w:rPr>
                <w:sz w:val="20"/>
              </w:rPr>
              <w:t xml:space="preserve">30</w:t>
            </w:r>
          </w:p>
        </w:tc>
        <w:tc>
          <w:tcPr>
            <w:tcW w:w="1077" w:type="dxa"/>
          </w:tcPr>
          <w:p>
            <w:pPr>
              <w:pStyle w:val="0"/>
              <w:jc w:val="center"/>
            </w:pPr>
            <w:r>
              <w:rPr>
                <w:sz w:val="20"/>
              </w:rPr>
              <w:t xml:space="preserve">30</w:t>
            </w:r>
          </w:p>
        </w:tc>
        <w:tc>
          <w:tcPr>
            <w:tcW w:w="1077" w:type="dxa"/>
          </w:tcPr>
          <w:p>
            <w:pPr>
              <w:pStyle w:val="0"/>
              <w:jc w:val="center"/>
            </w:pPr>
            <w:r>
              <w:rPr>
                <w:sz w:val="20"/>
              </w:rPr>
              <w:t xml:space="preserve">30</w:t>
            </w:r>
          </w:p>
        </w:tc>
      </w:tr>
      <w:tr>
        <w:tc>
          <w:tcPr>
            <w:vMerge w:val="continue"/>
          </w:tcPr>
          <w:p/>
        </w:tc>
        <w:tc>
          <w:tcPr>
            <w:vMerge w:val="continue"/>
          </w:tcPr>
          <w:p/>
        </w:tc>
        <w:tc>
          <w:tcPr>
            <w:vMerge w:val="continue"/>
          </w:tcPr>
          <w:p/>
        </w:tc>
        <w:tc>
          <w:tcPr>
            <w:vMerge w:val="continue"/>
          </w:tcPr>
          <w:p/>
        </w:tc>
        <w:tc>
          <w:tcPr>
            <w:tcW w:w="3515" w:type="dxa"/>
          </w:tcPr>
          <w:p>
            <w:pPr>
              <w:pStyle w:val="0"/>
            </w:pPr>
            <w:r>
              <w:rPr>
                <w:sz w:val="20"/>
              </w:rPr>
              <w:t xml:space="preserve">Отношение среднемесячной заработной платы педагогических работников государственных (муниципальных) организаций дополнительного образования к средней заработной плате учителей во Владимирской области</w:t>
            </w:r>
          </w:p>
        </w:tc>
        <w:tc>
          <w:tcPr>
            <w:tcW w:w="737" w:type="dxa"/>
          </w:tcPr>
          <w:p>
            <w:pPr>
              <w:pStyle w:val="0"/>
            </w:pPr>
            <w:r>
              <w:rPr>
                <w:sz w:val="20"/>
              </w:rPr>
              <w:t xml:space="preserve">%</w:t>
            </w:r>
          </w:p>
        </w:tc>
        <w:tc>
          <w:tcPr>
            <w:tcW w:w="1077" w:type="dxa"/>
          </w:tcPr>
          <w:p>
            <w:pPr>
              <w:pStyle w:val="0"/>
              <w:jc w:val="center"/>
            </w:pPr>
            <w:r>
              <w:rPr>
                <w:sz w:val="20"/>
              </w:rPr>
              <w:t xml:space="preserve">100</w:t>
            </w:r>
          </w:p>
        </w:tc>
        <w:tc>
          <w:tcPr>
            <w:tcW w:w="1077" w:type="dxa"/>
          </w:tcPr>
          <w:p>
            <w:pPr>
              <w:pStyle w:val="0"/>
              <w:jc w:val="center"/>
            </w:pPr>
            <w:r>
              <w:rPr>
                <w:sz w:val="20"/>
              </w:rPr>
              <w:t xml:space="preserve">100</w:t>
            </w:r>
          </w:p>
        </w:tc>
        <w:tc>
          <w:tcPr>
            <w:tcW w:w="1077" w:type="dxa"/>
          </w:tcPr>
          <w:p>
            <w:pPr>
              <w:pStyle w:val="0"/>
              <w:jc w:val="center"/>
            </w:pPr>
            <w:r>
              <w:rPr>
                <w:sz w:val="20"/>
              </w:rPr>
              <w:t xml:space="preserve">100</w:t>
            </w:r>
          </w:p>
        </w:tc>
      </w:tr>
      <w:tr>
        <w:tc>
          <w:tcPr>
            <w:tcW w:w="624" w:type="dxa"/>
          </w:tcPr>
          <w:p>
            <w:pPr>
              <w:pStyle w:val="0"/>
              <w:jc w:val="center"/>
            </w:pPr>
            <w:r>
              <w:rPr>
                <w:sz w:val="20"/>
              </w:rPr>
              <w:t xml:space="preserve">26.</w:t>
            </w:r>
          </w:p>
        </w:tc>
        <w:tc>
          <w:tcPr>
            <w:tcW w:w="2608" w:type="dxa"/>
          </w:tcPr>
          <w:p>
            <w:pPr>
              <w:pStyle w:val="0"/>
            </w:pPr>
            <w:r>
              <w:rPr>
                <w:sz w:val="20"/>
              </w:rPr>
              <w:t xml:space="preserve">Субсидии на приобретение транспортных средств для организации бесплатной перевозки обучающихся в муниципальных образовательных организациях, реализующих основные общеобразовательные программы</w:t>
            </w:r>
          </w:p>
        </w:tc>
        <w:tc>
          <w:tcPr>
            <w:tcW w:w="1644" w:type="dxa"/>
          </w:tcPr>
          <w:p>
            <w:pPr>
              <w:pStyle w:val="0"/>
            </w:pPr>
            <w:r>
              <w:rPr>
                <w:sz w:val="20"/>
              </w:rPr>
              <w:t xml:space="preserve">Государственная программа Владимирской области "Развитие образования"</w:t>
            </w:r>
          </w:p>
        </w:tc>
        <w:tc>
          <w:tcPr>
            <w:tcW w:w="1247" w:type="dxa"/>
          </w:tcPr>
          <w:p>
            <w:pPr>
              <w:pStyle w:val="0"/>
            </w:pPr>
            <w:r>
              <w:rPr>
                <w:sz w:val="20"/>
              </w:rPr>
              <w:t xml:space="preserve">Департамент образования Владимирской области</w:t>
            </w:r>
          </w:p>
        </w:tc>
        <w:tc>
          <w:tcPr>
            <w:tcW w:w="3515" w:type="dxa"/>
          </w:tcPr>
          <w:p>
            <w:pPr>
              <w:pStyle w:val="0"/>
            </w:pPr>
            <w:r>
              <w:rPr>
                <w:sz w:val="20"/>
              </w:rPr>
              <w:t xml:space="preserve">Доля обучающихся, обеспеченных подвозом к общеобразовательным организациям школьными автобусами, в общей численности обучающихся, нуждающихся в подвозе</w:t>
            </w:r>
          </w:p>
        </w:tc>
        <w:tc>
          <w:tcPr>
            <w:tcW w:w="737" w:type="dxa"/>
          </w:tcPr>
          <w:p>
            <w:pPr>
              <w:pStyle w:val="0"/>
            </w:pPr>
            <w:r>
              <w:rPr>
                <w:sz w:val="20"/>
              </w:rPr>
              <w:t xml:space="preserve">%</w:t>
            </w:r>
          </w:p>
        </w:tc>
        <w:tc>
          <w:tcPr>
            <w:tcW w:w="1077" w:type="dxa"/>
          </w:tcPr>
          <w:p>
            <w:pPr>
              <w:pStyle w:val="0"/>
              <w:jc w:val="center"/>
            </w:pPr>
            <w:r>
              <w:rPr>
                <w:sz w:val="20"/>
              </w:rPr>
              <w:t xml:space="preserve">90,5</w:t>
            </w:r>
          </w:p>
        </w:tc>
        <w:tc>
          <w:tcPr>
            <w:tcW w:w="1077" w:type="dxa"/>
          </w:tcPr>
          <w:p>
            <w:pPr>
              <w:pStyle w:val="0"/>
              <w:jc w:val="center"/>
            </w:pPr>
            <w:r>
              <w:rPr>
                <w:sz w:val="20"/>
              </w:rPr>
              <w:t xml:space="preserve">90,6</w:t>
            </w:r>
          </w:p>
        </w:tc>
        <w:tc>
          <w:tcPr>
            <w:tcW w:w="1077" w:type="dxa"/>
          </w:tcPr>
          <w:p>
            <w:pPr>
              <w:pStyle w:val="0"/>
              <w:jc w:val="center"/>
            </w:pPr>
            <w:r>
              <w:rPr>
                <w:sz w:val="20"/>
              </w:rPr>
              <w:t xml:space="preserve">90,6</w:t>
            </w:r>
          </w:p>
        </w:tc>
      </w:tr>
      <w:tr>
        <w:tc>
          <w:tcPr>
            <w:tcW w:w="624" w:type="dxa"/>
          </w:tcPr>
          <w:p>
            <w:pPr>
              <w:pStyle w:val="0"/>
              <w:jc w:val="center"/>
            </w:pPr>
            <w:r>
              <w:rPr>
                <w:sz w:val="20"/>
              </w:rPr>
              <w:t xml:space="preserve">27.</w:t>
            </w:r>
          </w:p>
        </w:tc>
        <w:tc>
          <w:tcPr>
            <w:tcW w:w="2608" w:type="dxa"/>
          </w:tcPr>
          <w:p>
            <w:pPr>
              <w:pStyle w:val="0"/>
            </w:pPr>
            <w:r>
              <w:rPr>
                <w:sz w:val="20"/>
              </w:rPr>
              <w:t xml:space="preserve">Субсидии на обеспечение профилактики детского дорожно-транспортного травматизма</w:t>
            </w:r>
          </w:p>
        </w:tc>
        <w:tc>
          <w:tcPr>
            <w:tcW w:w="1644" w:type="dxa"/>
          </w:tcPr>
          <w:p>
            <w:pPr>
              <w:pStyle w:val="0"/>
            </w:pPr>
            <w:r>
              <w:rPr>
                <w:sz w:val="20"/>
              </w:rPr>
              <w:t xml:space="preserve">Государственная программа Владимирской области "Повышение безопасности дорожного движения во Владимирской области"</w:t>
            </w:r>
          </w:p>
        </w:tc>
        <w:tc>
          <w:tcPr>
            <w:tcW w:w="1247" w:type="dxa"/>
          </w:tcPr>
          <w:p>
            <w:pPr>
              <w:pStyle w:val="0"/>
            </w:pPr>
            <w:r>
              <w:rPr>
                <w:sz w:val="20"/>
              </w:rPr>
              <w:t xml:space="preserve">Департамент образования Владимирской области</w:t>
            </w:r>
          </w:p>
        </w:tc>
        <w:tc>
          <w:tcPr>
            <w:tcW w:w="3515" w:type="dxa"/>
          </w:tcPr>
          <w:p>
            <w:pPr>
              <w:pStyle w:val="0"/>
            </w:pPr>
            <w:r>
              <w:rPr>
                <w:sz w:val="20"/>
              </w:rPr>
              <w:t xml:space="preserve">Число детей, погибших в дорожно-транспортных происшествиях</w:t>
            </w:r>
          </w:p>
        </w:tc>
        <w:tc>
          <w:tcPr>
            <w:tcW w:w="737" w:type="dxa"/>
          </w:tcPr>
          <w:p>
            <w:pPr>
              <w:pStyle w:val="0"/>
            </w:pPr>
            <w:r>
              <w:rPr>
                <w:sz w:val="20"/>
              </w:rPr>
              <w:t xml:space="preserve">чел.</w:t>
            </w:r>
          </w:p>
        </w:tc>
        <w:tc>
          <w:tcPr>
            <w:tcW w:w="1077" w:type="dxa"/>
          </w:tcPr>
          <w:p>
            <w:pPr>
              <w:pStyle w:val="0"/>
              <w:jc w:val="center"/>
            </w:pPr>
            <w:r>
              <w:rPr>
                <w:sz w:val="20"/>
              </w:rPr>
              <w:t xml:space="preserve">5</w:t>
            </w:r>
          </w:p>
        </w:tc>
        <w:tc>
          <w:tcPr>
            <w:tcW w:w="1077" w:type="dxa"/>
          </w:tcPr>
          <w:p>
            <w:pPr>
              <w:pStyle w:val="0"/>
              <w:jc w:val="center"/>
            </w:pPr>
            <w:r>
              <w:rPr>
                <w:sz w:val="20"/>
              </w:rPr>
              <w:t xml:space="preserve">5</w:t>
            </w:r>
          </w:p>
        </w:tc>
        <w:tc>
          <w:tcPr>
            <w:tcW w:w="1077" w:type="dxa"/>
          </w:tcPr>
          <w:p>
            <w:pPr>
              <w:pStyle w:val="0"/>
              <w:jc w:val="center"/>
            </w:pPr>
            <w:r>
              <w:rPr>
                <w:sz w:val="20"/>
              </w:rPr>
              <w:t xml:space="preserve">-</w:t>
            </w:r>
          </w:p>
        </w:tc>
      </w:tr>
      <w:tr>
        <w:tc>
          <w:tcPr>
            <w:tcW w:w="624" w:type="dxa"/>
          </w:tcPr>
          <w:p>
            <w:pPr>
              <w:pStyle w:val="0"/>
              <w:jc w:val="center"/>
            </w:pPr>
            <w:r>
              <w:rPr>
                <w:sz w:val="20"/>
              </w:rPr>
              <w:t xml:space="preserve">28.</w:t>
            </w:r>
          </w:p>
        </w:tc>
        <w:tc>
          <w:tcPr>
            <w:tcW w:w="2608" w:type="dxa"/>
          </w:tcPr>
          <w:p>
            <w:pPr>
              <w:pStyle w:val="0"/>
            </w:pPr>
            <w:r>
              <w:rPr>
                <w:sz w:val="20"/>
              </w:rPr>
              <w:t xml:space="preserve">Субсидии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644" w:type="dxa"/>
          </w:tcPr>
          <w:p>
            <w:pPr>
              <w:pStyle w:val="0"/>
            </w:pPr>
            <w:r>
              <w:rPr>
                <w:sz w:val="20"/>
              </w:rPr>
              <w:t xml:space="preserve">Государственная программа Владимирской области "Развитие образования"</w:t>
            </w:r>
          </w:p>
        </w:tc>
        <w:tc>
          <w:tcPr>
            <w:tcW w:w="1247" w:type="dxa"/>
          </w:tcPr>
          <w:p>
            <w:pPr>
              <w:pStyle w:val="0"/>
            </w:pPr>
            <w:r>
              <w:rPr>
                <w:sz w:val="20"/>
              </w:rPr>
              <w:t xml:space="preserve">Департамент образования Владимирской области</w:t>
            </w:r>
          </w:p>
        </w:tc>
        <w:tc>
          <w:tcPr>
            <w:tcW w:w="3515" w:type="dxa"/>
          </w:tcPr>
          <w:p>
            <w:pPr>
              <w:pStyle w:val="0"/>
            </w:pPr>
            <w:r>
              <w:rPr>
                <w:sz w:val="20"/>
              </w:rPr>
              <w:t xml:space="preserve">Количество общеобразовательных организаций, обновивших материально-техническую базу для занятий физкультурой и спортом, нарастающим итогом (нарастающим итогом)</w:t>
            </w:r>
          </w:p>
        </w:tc>
        <w:tc>
          <w:tcPr>
            <w:tcW w:w="737" w:type="dxa"/>
          </w:tcPr>
          <w:p>
            <w:pPr>
              <w:pStyle w:val="0"/>
            </w:pPr>
            <w:r>
              <w:rPr>
                <w:sz w:val="20"/>
              </w:rPr>
              <w:t xml:space="preserve">ед.</w:t>
            </w:r>
          </w:p>
        </w:tc>
        <w:tc>
          <w:tcPr>
            <w:tcW w:w="1077" w:type="dxa"/>
          </w:tcPr>
          <w:p>
            <w:pPr>
              <w:pStyle w:val="0"/>
              <w:jc w:val="center"/>
            </w:pPr>
            <w:r>
              <w:rPr>
                <w:sz w:val="20"/>
              </w:rPr>
              <w:t xml:space="preserve">74</w:t>
            </w:r>
          </w:p>
        </w:tc>
        <w:tc>
          <w:tcPr>
            <w:tcW w:w="1077" w:type="dxa"/>
          </w:tcPr>
          <w:p>
            <w:pPr>
              <w:pStyle w:val="0"/>
              <w:jc w:val="center"/>
            </w:pPr>
            <w:r>
              <w:rPr>
                <w:sz w:val="20"/>
              </w:rPr>
              <w:t xml:space="preserve">90</w:t>
            </w:r>
          </w:p>
        </w:tc>
        <w:tc>
          <w:tcPr>
            <w:tcW w:w="1077" w:type="dxa"/>
          </w:tcPr>
          <w:p>
            <w:pPr>
              <w:pStyle w:val="0"/>
              <w:jc w:val="center"/>
            </w:pPr>
            <w:r>
              <w:rPr>
                <w:sz w:val="20"/>
              </w:rPr>
              <w:t xml:space="preserve">-</w:t>
            </w:r>
          </w:p>
        </w:tc>
      </w:tr>
      <w:tr>
        <w:tc>
          <w:tcPr>
            <w:tcW w:w="624" w:type="dxa"/>
          </w:tcPr>
          <w:p>
            <w:pPr>
              <w:pStyle w:val="0"/>
              <w:jc w:val="center"/>
            </w:pPr>
            <w:r>
              <w:rPr>
                <w:sz w:val="20"/>
              </w:rPr>
              <w:t xml:space="preserve">29.</w:t>
            </w:r>
          </w:p>
        </w:tc>
        <w:tc>
          <w:tcPr>
            <w:tcW w:w="2608" w:type="dxa"/>
          </w:tcPr>
          <w:p>
            <w:pPr>
              <w:pStyle w:val="0"/>
            </w:pPr>
            <w:r>
              <w:rPr>
                <w:sz w:val="20"/>
              </w:rPr>
              <w:t xml:space="preserve">Субсидии на создание и обеспечение функционирования центров образования естественно-научной и технологической направленностей в общеобразовательных организациях, расположенных в сельской местности и малых городах</w:t>
            </w:r>
          </w:p>
        </w:tc>
        <w:tc>
          <w:tcPr>
            <w:tcW w:w="1644" w:type="dxa"/>
          </w:tcPr>
          <w:p>
            <w:pPr>
              <w:pStyle w:val="0"/>
            </w:pPr>
            <w:r>
              <w:rPr>
                <w:sz w:val="20"/>
              </w:rPr>
              <w:t xml:space="preserve">Государственная программа Владимирской области "Развитие образования"</w:t>
            </w:r>
          </w:p>
        </w:tc>
        <w:tc>
          <w:tcPr>
            <w:tcW w:w="1247" w:type="dxa"/>
          </w:tcPr>
          <w:p>
            <w:pPr>
              <w:pStyle w:val="0"/>
            </w:pPr>
            <w:r>
              <w:rPr>
                <w:sz w:val="20"/>
              </w:rPr>
              <w:t xml:space="preserve">Департамент образования Владимирской области</w:t>
            </w:r>
          </w:p>
        </w:tc>
        <w:tc>
          <w:tcPr>
            <w:tcW w:w="3515" w:type="dxa"/>
          </w:tcPr>
          <w:p>
            <w:pPr>
              <w:pStyle w:val="0"/>
            </w:pPr>
            <w:r>
              <w:rPr>
                <w:sz w:val="20"/>
              </w:rPr>
              <w:t xml:space="preserve">В общеобразовательных организациях, расположенных в сельской местности и малых городах, созданы и функционируют центры образования естественно-научной и технологической направленностей (нарастающим итогом)</w:t>
            </w:r>
          </w:p>
        </w:tc>
        <w:tc>
          <w:tcPr>
            <w:tcW w:w="737" w:type="dxa"/>
          </w:tcPr>
          <w:p>
            <w:pPr>
              <w:pStyle w:val="0"/>
            </w:pPr>
            <w:r>
              <w:rPr>
                <w:sz w:val="20"/>
              </w:rPr>
              <w:t xml:space="preserve">ед.</w:t>
            </w:r>
          </w:p>
        </w:tc>
        <w:tc>
          <w:tcPr>
            <w:tcW w:w="1077" w:type="dxa"/>
          </w:tcPr>
          <w:p>
            <w:pPr>
              <w:pStyle w:val="0"/>
              <w:jc w:val="center"/>
            </w:pPr>
            <w:r>
              <w:rPr>
                <w:sz w:val="20"/>
              </w:rPr>
              <w:t xml:space="preserve">30</w:t>
            </w:r>
          </w:p>
        </w:tc>
        <w:tc>
          <w:tcPr>
            <w:tcW w:w="1077" w:type="dxa"/>
          </w:tcPr>
          <w:p>
            <w:pPr>
              <w:pStyle w:val="0"/>
              <w:jc w:val="center"/>
            </w:pPr>
            <w:r>
              <w:rPr>
                <w:sz w:val="20"/>
              </w:rPr>
              <w:t xml:space="preserve">60</w:t>
            </w:r>
          </w:p>
        </w:tc>
        <w:tc>
          <w:tcPr>
            <w:tcW w:w="1077" w:type="dxa"/>
          </w:tcPr>
          <w:p>
            <w:pPr>
              <w:pStyle w:val="0"/>
              <w:jc w:val="center"/>
            </w:pPr>
            <w:r>
              <w:rPr>
                <w:sz w:val="20"/>
              </w:rPr>
              <w:t xml:space="preserve">91</w:t>
            </w:r>
          </w:p>
        </w:tc>
      </w:tr>
      <w:tr>
        <w:tc>
          <w:tcPr>
            <w:tcW w:w="624" w:type="dxa"/>
          </w:tcPr>
          <w:p>
            <w:pPr>
              <w:pStyle w:val="0"/>
              <w:jc w:val="center"/>
            </w:pPr>
            <w:r>
              <w:rPr>
                <w:sz w:val="20"/>
              </w:rPr>
              <w:t xml:space="preserve">30.</w:t>
            </w:r>
          </w:p>
        </w:tc>
        <w:tc>
          <w:tcPr>
            <w:tcW w:w="2608" w:type="dxa"/>
          </w:tcPr>
          <w:p>
            <w:pPr>
              <w:pStyle w:val="0"/>
            </w:pPr>
            <w:r>
              <w:rPr>
                <w:sz w:val="20"/>
              </w:rPr>
              <w:t xml:space="preserve">Субсидии на создание детских технопарков "Кванториум"</w:t>
            </w:r>
          </w:p>
        </w:tc>
        <w:tc>
          <w:tcPr>
            <w:tcW w:w="1644" w:type="dxa"/>
          </w:tcPr>
          <w:p>
            <w:pPr>
              <w:pStyle w:val="0"/>
            </w:pPr>
            <w:r>
              <w:rPr>
                <w:sz w:val="20"/>
              </w:rPr>
              <w:t xml:space="preserve">Государственная программа Владимирской области "Развитие образования"</w:t>
            </w:r>
          </w:p>
        </w:tc>
        <w:tc>
          <w:tcPr>
            <w:tcW w:w="1247" w:type="dxa"/>
          </w:tcPr>
          <w:p>
            <w:pPr>
              <w:pStyle w:val="0"/>
            </w:pPr>
            <w:r>
              <w:rPr>
                <w:sz w:val="20"/>
              </w:rPr>
              <w:t xml:space="preserve">Департамент образования Владимирской области</w:t>
            </w:r>
          </w:p>
        </w:tc>
        <w:tc>
          <w:tcPr>
            <w:tcW w:w="3515" w:type="dxa"/>
          </w:tcPr>
          <w:p>
            <w:pPr>
              <w:pStyle w:val="0"/>
            </w:pPr>
            <w:r>
              <w:rPr>
                <w:sz w:val="20"/>
              </w:rPr>
              <w:t xml:space="preserve">На базе общеобразовательных организаций созданы и функционируют детские технопарки "Кванториум" (нарастающим итогом)</w:t>
            </w:r>
          </w:p>
        </w:tc>
        <w:tc>
          <w:tcPr>
            <w:tcW w:w="737" w:type="dxa"/>
          </w:tcPr>
          <w:p>
            <w:pPr>
              <w:pStyle w:val="0"/>
            </w:pPr>
            <w:r>
              <w:rPr>
                <w:sz w:val="20"/>
              </w:rPr>
              <w:t xml:space="preserve">ед.</w:t>
            </w:r>
          </w:p>
        </w:tc>
        <w:tc>
          <w:tcPr>
            <w:tcW w:w="1077" w:type="dxa"/>
          </w:tcPr>
          <w:p>
            <w:pPr>
              <w:pStyle w:val="0"/>
              <w:jc w:val="center"/>
            </w:pPr>
            <w:r>
              <w:rPr>
                <w:sz w:val="20"/>
              </w:rPr>
              <w:t xml:space="preserve">1</w:t>
            </w:r>
          </w:p>
        </w:tc>
        <w:tc>
          <w:tcPr>
            <w:tcW w:w="1077" w:type="dxa"/>
          </w:tcPr>
          <w:p>
            <w:pPr>
              <w:pStyle w:val="0"/>
              <w:jc w:val="center"/>
            </w:pPr>
            <w:r>
              <w:rPr>
                <w:sz w:val="20"/>
              </w:rPr>
              <w:t xml:space="preserve">2</w:t>
            </w:r>
          </w:p>
        </w:tc>
        <w:tc>
          <w:tcPr>
            <w:tcW w:w="1077" w:type="dxa"/>
          </w:tcPr>
          <w:p>
            <w:pPr>
              <w:pStyle w:val="0"/>
              <w:jc w:val="center"/>
            </w:pPr>
            <w:r>
              <w:rPr>
                <w:sz w:val="20"/>
              </w:rPr>
              <w:t xml:space="preserve">3</w:t>
            </w:r>
          </w:p>
        </w:tc>
      </w:tr>
      <w:tr>
        <w:tc>
          <w:tcPr>
            <w:tcW w:w="624" w:type="dxa"/>
          </w:tcPr>
          <w:p>
            <w:pPr>
              <w:pStyle w:val="0"/>
              <w:jc w:val="center"/>
            </w:pPr>
            <w:r>
              <w:rPr>
                <w:sz w:val="20"/>
              </w:rPr>
              <w:t xml:space="preserve">31.</w:t>
            </w:r>
          </w:p>
        </w:tc>
        <w:tc>
          <w:tcPr>
            <w:tcW w:w="2608" w:type="dxa"/>
          </w:tcPr>
          <w:p>
            <w:pPr>
              <w:pStyle w:val="0"/>
            </w:pPr>
            <w:r>
              <w:rPr>
                <w:sz w:val="20"/>
              </w:rPr>
              <w:t xml:space="preserve">Субсидии на обеспечение образовательных организаций материально-технической базой для внедрения цифровой образовательной среды</w:t>
            </w:r>
          </w:p>
        </w:tc>
        <w:tc>
          <w:tcPr>
            <w:tcW w:w="1644" w:type="dxa"/>
          </w:tcPr>
          <w:p>
            <w:pPr>
              <w:pStyle w:val="0"/>
            </w:pPr>
            <w:r>
              <w:rPr>
                <w:sz w:val="20"/>
              </w:rPr>
              <w:t xml:space="preserve">Государственная программа Владимирской области "Развитие образования"</w:t>
            </w:r>
          </w:p>
        </w:tc>
        <w:tc>
          <w:tcPr>
            <w:tcW w:w="1247" w:type="dxa"/>
          </w:tcPr>
          <w:p>
            <w:pPr>
              <w:pStyle w:val="0"/>
            </w:pPr>
            <w:r>
              <w:rPr>
                <w:sz w:val="20"/>
              </w:rPr>
              <w:t xml:space="preserve">Департамент образования Владимирской области</w:t>
            </w:r>
          </w:p>
        </w:tc>
        <w:tc>
          <w:tcPr>
            <w:tcW w:w="3515" w:type="dxa"/>
          </w:tcPr>
          <w:p>
            <w:pPr>
              <w:pStyle w:val="0"/>
            </w:pPr>
            <w:r>
              <w:rPr>
                <w:sz w:val="20"/>
              </w:rPr>
              <w:t xml:space="preserve">Доля общеобразовательных организаций, оснащенных в целях внедрения цифровой образовательной среды</w:t>
            </w:r>
          </w:p>
        </w:tc>
        <w:tc>
          <w:tcPr>
            <w:tcW w:w="737" w:type="dxa"/>
          </w:tcPr>
          <w:p>
            <w:pPr>
              <w:pStyle w:val="0"/>
            </w:pPr>
            <w:r>
              <w:rPr>
                <w:sz w:val="20"/>
              </w:rPr>
              <w:t xml:space="preserve">%</w:t>
            </w:r>
          </w:p>
        </w:tc>
        <w:tc>
          <w:tcPr>
            <w:tcW w:w="1077" w:type="dxa"/>
          </w:tcPr>
          <w:p>
            <w:pPr>
              <w:pStyle w:val="0"/>
              <w:jc w:val="center"/>
            </w:pPr>
            <w:r>
              <w:rPr>
                <w:sz w:val="20"/>
              </w:rPr>
              <w:t xml:space="preserve">64,19</w:t>
            </w:r>
          </w:p>
        </w:tc>
        <w:tc>
          <w:tcPr>
            <w:tcW w:w="1077" w:type="dxa"/>
          </w:tcPr>
          <w:p>
            <w:pPr>
              <w:pStyle w:val="0"/>
              <w:jc w:val="center"/>
            </w:pPr>
            <w:r>
              <w:rPr>
                <w:sz w:val="20"/>
              </w:rPr>
              <w:t xml:space="preserve">85,12</w:t>
            </w:r>
          </w:p>
        </w:tc>
        <w:tc>
          <w:tcPr>
            <w:tcW w:w="1077" w:type="dxa"/>
          </w:tcPr>
          <w:p>
            <w:pPr>
              <w:pStyle w:val="0"/>
              <w:jc w:val="center"/>
            </w:pPr>
            <w:r>
              <w:rPr>
                <w:sz w:val="20"/>
              </w:rPr>
              <w:t xml:space="preserve">85,12</w:t>
            </w:r>
          </w:p>
        </w:tc>
      </w:tr>
      <w:tr>
        <w:tc>
          <w:tcPr>
            <w:tcW w:w="624" w:type="dxa"/>
          </w:tcPr>
          <w:p>
            <w:pPr>
              <w:pStyle w:val="0"/>
              <w:jc w:val="center"/>
            </w:pPr>
            <w:r>
              <w:rPr>
                <w:sz w:val="20"/>
              </w:rPr>
              <w:t xml:space="preserve">32.</w:t>
            </w:r>
          </w:p>
        </w:tc>
        <w:tc>
          <w:tcPr>
            <w:tcW w:w="2608" w:type="dxa"/>
          </w:tcPr>
          <w:p>
            <w:pPr>
              <w:pStyle w:val="0"/>
            </w:pPr>
            <w:r>
              <w:rPr>
                <w:sz w:val="20"/>
              </w:rPr>
              <w:t xml:space="preserve">Субсидии на организацию бесплатного горячего питания обучающихся, получающих начальное общее образование в муниципальных образовательных организациях</w:t>
            </w:r>
          </w:p>
        </w:tc>
        <w:tc>
          <w:tcPr>
            <w:tcW w:w="1644" w:type="dxa"/>
          </w:tcPr>
          <w:p>
            <w:pPr>
              <w:pStyle w:val="0"/>
            </w:pPr>
            <w:r>
              <w:rPr>
                <w:sz w:val="20"/>
              </w:rPr>
              <w:t xml:space="preserve">Государственная программа Владимирской области "Развитие образования"</w:t>
            </w:r>
          </w:p>
        </w:tc>
        <w:tc>
          <w:tcPr>
            <w:tcW w:w="1247" w:type="dxa"/>
          </w:tcPr>
          <w:p>
            <w:pPr>
              <w:pStyle w:val="0"/>
            </w:pPr>
            <w:r>
              <w:rPr>
                <w:sz w:val="20"/>
              </w:rPr>
              <w:t xml:space="preserve">Департамент образования Владимирской области</w:t>
            </w:r>
          </w:p>
        </w:tc>
        <w:tc>
          <w:tcPr>
            <w:tcW w:w="3515" w:type="dxa"/>
          </w:tcPr>
          <w:p>
            <w:pPr>
              <w:pStyle w:val="0"/>
            </w:pPr>
            <w:r>
              <w:rPr>
                <w:sz w:val="20"/>
              </w:rPr>
              <w:t xml:space="preserve">Доля обучающихся, получающих начальное общее образование в государственных и муниципальных образовательных организациях, получающих бесплатное горячее питание, к общему количеству обучающихся, получающих начальное общее образование в государственных и муниципальных образовательных организациях</w:t>
            </w:r>
          </w:p>
        </w:tc>
        <w:tc>
          <w:tcPr>
            <w:tcW w:w="737" w:type="dxa"/>
          </w:tcPr>
          <w:p>
            <w:pPr>
              <w:pStyle w:val="0"/>
            </w:pPr>
            <w:r>
              <w:rPr>
                <w:sz w:val="20"/>
              </w:rPr>
              <w:t xml:space="preserve">%</w:t>
            </w:r>
          </w:p>
        </w:tc>
        <w:tc>
          <w:tcPr>
            <w:tcW w:w="1077" w:type="dxa"/>
          </w:tcPr>
          <w:p>
            <w:pPr>
              <w:pStyle w:val="0"/>
              <w:jc w:val="center"/>
            </w:pPr>
            <w:r>
              <w:rPr>
                <w:sz w:val="20"/>
              </w:rPr>
              <w:t xml:space="preserve">100</w:t>
            </w:r>
          </w:p>
        </w:tc>
        <w:tc>
          <w:tcPr>
            <w:tcW w:w="1077" w:type="dxa"/>
          </w:tcPr>
          <w:p>
            <w:pPr>
              <w:pStyle w:val="0"/>
              <w:jc w:val="center"/>
            </w:pPr>
            <w:r>
              <w:rPr>
                <w:sz w:val="20"/>
              </w:rPr>
              <w:t xml:space="preserve">100</w:t>
            </w:r>
          </w:p>
        </w:tc>
        <w:tc>
          <w:tcPr>
            <w:tcW w:w="1077" w:type="dxa"/>
          </w:tcPr>
          <w:p>
            <w:pPr>
              <w:pStyle w:val="0"/>
              <w:jc w:val="center"/>
            </w:pPr>
            <w:r>
              <w:rPr>
                <w:sz w:val="20"/>
              </w:rPr>
              <w:t xml:space="preserve">100</w:t>
            </w:r>
          </w:p>
        </w:tc>
      </w:tr>
      <w:tr>
        <w:tc>
          <w:tcPr>
            <w:tcW w:w="624" w:type="dxa"/>
            <w:vMerge w:val="restart"/>
          </w:tcPr>
          <w:p>
            <w:pPr>
              <w:pStyle w:val="0"/>
              <w:jc w:val="center"/>
            </w:pPr>
            <w:r>
              <w:rPr>
                <w:sz w:val="20"/>
              </w:rPr>
              <w:t xml:space="preserve">33.</w:t>
            </w:r>
          </w:p>
        </w:tc>
        <w:tc>
          <w:tcPr>
            <w:tcW w:w="2608" w:type="dxa"/>
            <w:vMerge w:val="restart"/>
          </w:tcPr>
          <w:p>
            <w:pPr>
              <w:pStyle w:val="0"/>
            </w:pPr>
            <w:r>
              <w:rPr>
                <w:sz w:val="20"/>
              </w:rPr>
              <w:t xml:space="preserve">Субсидии на капитальные вложения в объекты образования муниципальной собственности</w:t>
            </w:r>
          </w:p>
        </w:tc>
        <w:tc>
          <w:tcPr>
            <w:tcW w:w="1644" w:type="dxa"/>
            <w:vMerge w:val="restart"/>
          </w:tcPr>
          <w:p>
            <w:pPr>
              <w:pStyle w:val="0"/>
            </w:pPr>
            <w:r>
              <w:rPr>
                <w:sz w:val="20"/>
              </w:rPr>
              <w:t xml:space="preserve">Государственная программа Владимирской области "Развитие образования"</w:t>
            </w:r>
          </w:p>
        </w:tc>
        <w:tc>
          <w:tcPr>
            <w:tcW w:w="1247" w:type="dxa"/>
            <w:vMerge w:val="restart"/>
          </w:tcPr>
          <w:p>
            <w:pPr>
              <w:pStyle w:val="0"/>
            </w:pPr>
            <w:r>
              <w:rPr>
                <w:sz w:val="20"/>
              </w:rPr>
              <w:t xml:space="preserve">Департамент образования Владимирской области</w:t>
            </w:r>
          </w:p>
        </w:tc>
        <w:tc>
          <w:tcPr>
            <w:tcW w:w="3515" w:type="dxa"/>
          </w:tcPr>
          <w:p>
            <w:pPr>
              <w:pStyle w:val="0"/>
            </w:pPr>
            <w:r>
              <w:rPr>
                <w:sz w:val="20"/>
              </w:rPr>
              <w:t xml:space="preserve">Количество новых мест в общеобразовательных организациях муниципальных образований</w:t>
            </w:r>
          </w:p>
        </w:tc>
        <w:tc>
          <w:tcPr>
            <w:tcW w:w="737" w:type="dxa"/>
          </w:tcPr>
          <w:p>
            <w:pPr>
              <w:pStyle w:val="0"/>
            </w:pPr>
            <w:r>
              <w:rPr>
                <w:sz w:val="20"/>
              </w:rPr>
              <w:t xml:space="preserve">ед.</w:t>
            </w:r>
          </w:p>
        </w:tc>
        <w:tc>
          <w:tcPr>
            <w:tcW w:w="1077" w:type="dxa"/>
          </w:tcPr>
          <w:p>
            <w:pPr>
              <w:pStyle w:val="0"/>
              <w:jc w:val="center"/>
            </w:pPr>
            <w:r>
              <w:rPr>
                <w:sz w:val="20"/>
              </w:rPr>
              <w:t xml:space="preserve">2200</w:t>
            </w:r>
          </w:p>
        </w:tc>
        <w:tc>
          <w:tcPr>
            <w:tcW w:w="1077" w:type="dxa"/>
          </w:tcPr>
          <w:p>
            <w:pPr>
              <w:pStyle w:val="0"/>
              <w:jc w:val="center"/>
            </w:pPr>
            <w:r>
              <w:rPr>
                <w:sz w:val="20"/>
              </w:rPr>
              <w:t xml:space="preserve">650</w:t>
            </w:r>
          </w:p>
        </w:tc>
        <w:tc>
          <w:tcPr>
            <w:tcW w:w="1077" w:type="dxa"/>
          </w:tcPr>
          <w:p>
            <w:pPr>
              <w:pStyle w:val="0"/>
              <w:jc w:val="center"/>
            </w:pPr>
            <w:r>
              <w:rPr>
                <w:sz w:val="20"/>
              </w:rPr>
              <w:t xml:space="preserve">4300</w:t>
            </w:r>
          </w:p>
        </w:tc>
      </w:tr>
      <w:tr>
        <w:tc>
          <w:tcPr>
            <w:vMerge w:val="continue"/>
          </w:tcPr>
          <w:p/>
        </w:tc>
        <w:tc>
          <w:tcPr>
            <w:vMerge w:val="continue"/>
          </w:tcPr>
          <w:p/>
        </w:tc>
        <w:tc>
          <w:tcPr>
            <w:vMerge w:val="continue"/>
          </w:tcPr>
          <w:p/>
        </w:tc>
        <w:tc>
          <w:tcPr>
            <w:vMerge w:val="continue"/>
          </w:tcPr>
          <w:p/>
        </w:tc>
        <w:tc>
          <w:tcPr>
            <w:tcW w:w="3515" w:type="dxa"/>
          </w:tcPr>
          <w:p>
            <w:pPr>
              <w:pStyle w:val="0"/>
            </w:pPr>
            <w:r>
              <w:rPr>
                <w:sz w:val="20"/>
              </w:rPr>
              <w:t xml:space="preserve">Количество новых мест, оснащенных средствами обучения и воспитания, необходимыми для реализации образовательных программ начального общего, основного общего и среднего общего образования</w:t>
            </w:r>
          </w:p>
        </w:tc>
        <w:tc>
          <w:tcPr>
            <w:tcW w:w="737" w:type="dxa"/>
          </w:tcPr>
          <w:p>
            <w:pPr>
              <w:pStyle w:val="0"/>
            </w:pPr>
            <w:r>
              <w:rPr>
                <w:sz w:val="20"/>
              </w:rPr>
              <w:t xml:space="preserve">ед.</w:t>
            </w:r>
          </w:p>
        </w:tc>
        <w:tc>
          <w:tcPr>
            <w:tcW w:w="1077" w:type="dxa"/>
          </w:tcPr>
          <w:p>
            <w:pPr>
              <w:pStyle w:val="0"/>
              <w:jc w:val="center"/>
            </w:pPr>
            <w:r>
              <w:rPr>
                <w:sz w:val="20"/>
              </w:rPr>
              <w:t xml:space="preserve">0</w:t>
            </w:r>
          </w:p>
        </w:tc>
        <w:tc>
          <w:tcPr>
            <w:tcW w:w="1077" w:type="dxa"/>
          </w:tcPr>
          <w:p>
            <w:pPr>
              <w:pStyle w:val="0"/>
              <w:jc w:val="center"/>
            </w:pPr>
            <w:r>
              <w:rPr>
                <w:sz w:val="20"/>
              </w:rPr>
              <w:t xml:space="preserve">0</w:t>
            </w:r>
          </w:p>
        </w:tc>
        <w:tc>
          <w:tcPr>
            <w:tcW w:w="1077" w:type="dxa"/>
          </w:tcPr>
          <w:p>
            <w:pPr>
              <w:pStyle w:val="0"/>
              <w:jc w:val="center"/>
            </w:pPr>
            <w:r>
              <w:rPr>
                <w:sz w:val="20"/>
              </w:rPr>
              <w:t xml:space="preserve">0</w:t>
            </w:r>
          </w:p>
        </w:tc>
      </w:tr>
      <w:tr>
        <w:tc>
          <w:tcPr>
            <w:tcW w:w="624" w:type="dxa"/>
            <w:vMerge w:val="restart"/>
          </w:tcPr>
          <w:p>
            <w:pPr>
              <w:pStyle w:val="0"/>
              <w:jc w:val="center"/>
            </w:pPr>
            <w:r>
              <w:rPr>
                <w:sz w:val="20"/>
              </w:rPr>
              <w:t xml:space="preserve">34.</w:t>
            </w:r>
          </w:p>
        </w:tc>
        <w:tc>
          <w:tcPr>
            <w:tcW w:w="2608" w:type="dxa"/>
            <w:vMerge w:val="restart"/>
          </w:tcPr>
          <w:p>
            <w:pPr>
              <w:pStyle w:val="0"/>
            </w:pPr>
            <w:r>
              <w:rPr>
                <w:sz w:val="20"/>
              </w:rPr>
              <w:t xml:space="preserve">Субсидии на создание новых мест в общеобразовательных организациях</w:t>
            </w:r>
          </w:p>
        </w:tc>
        <w:tc>
          <w:tcPr>
            <w:tcW w:w="1644" w:type="dxa"/>
            <w:vMerge w:val="restart"/>
          </w:tcPr>
          <w:p>
            <w:pPr>
              <w:pStyle w:val="0"/>
            </w:pPr>
            <w:r>
              <w:rPr>
                <w:sz w:val="20"/>
              </w:rPr>
              <w:t xml:space="preserve">Государственная программа Владимирской области "Развитие образования"</w:t>
            </w:r>
          </w:p>
        </w:tc>
        <w:tc>
          <w:tcPr>
            <w:tcW w:w="1247" w:type="dxa"/>
            <w:vMerge w:val="restart"/>
          </w:tcPr>
          <w:p>
            <w:pPr>
              <w:pStyle w:val="0"/>
            </w:pPr>
            <w:r>
              <w:rPr>
                <w:sz w:val="20"/>
              </w:rPr>
              <w:t xml:space="preserve">Департамент образования Владимирской области</w:t>
            </w:r>
          </w:p>
        </w:tc>
        <w:tc>
          <w:tcPr>
            <w:tcW w:w="3515" w:type="dxa"/>
          </w:tcPr>
          <w:p>
            <w:pPr>
              <w:pStyle w:val="0"/>
            </w:pPr>
            <w:r>
              <w:rPr>
                <w:sz w:val="20"/>
              </w:rPr>
              <w:t xml:space="preserve">Количество новых мест в общеобразовательных организациях субъекта Российской Федерации, введенных путем реализации региональных программ в рамках софинансирования за счет средств федерального бюджета</w:t>
            </w:r>
          </w:p>
        </w:tc>
        <w:tc>
          <w:tcPr>
            <w:tcW w:w="737" w:type="dxa"/>
          </w:tcPr>
          <w:p>
            <w:pPr>
              <w:pStyle w:val="0"/>
            </w:pPr>
            <w:r>
              <w:rPr>
                <w:sz w:val="20"/>
              </w:rPr>
              <w:t xml:space="preserve">ед.</w:t>
            </w:r>
          </w:p>
        </w:tc>
        <w:tc>
          <w:tcPr>
            <w:tcW w:w="1077" w:type="dxa"/>
          </w:tcPr>
          <w:p>
            <w:pPr>
              <w:pStyle w:val="0"/>
              <w:jc w:val="center"/>
            </w:pPr>
            <w:r>
              <w:rPr>
                <w:sz w:val="20"/>
              </w:rPr>
              <w:t xml:space="preserve">2200</w:t>
            </w:r>
          </w:p>
        </w:tc>
        <w:tc>
          <w:tcPr>
            <w:tcW w:w="1077" w:type="dxa"/>
          </w:tcPr>
          <w:p>
            <w:pPr>
              <w:pStyle w:val="0"/>
              <w:jc w:val="center"/>
            </w:pPr>
            <w:r>
              <w:rPr>
                <w:sz w:val="20"/>
              </w:rPr>
              <w:t xml:space="preserve">0</w:t>
            </w:r>
          </w:p>
        </w:tc>
        <w:tc>
          <w:tcPr>
            <w:tcW w:w="1077" w:type="dxa"/>
          </w:tcPr>
          <w:p>
            <w:pPr>
              <w:pStyle w:val="0"/>
              <w:jc w:val="center"/>
            </w:pPr>
            <w:r>
              <w:rPr>
                <w:sz w:val="20"/>
              </w:rPr>
              <w:t xml:space="preserve">0</w:t>
            </w:r>
          </w:p>
        </w:tc>
      </w:tr>
      <w:tr>
        <w:tc>
          <w:tcPr>
            <w:vMerge w:val="continue"/>
          </w:tcPr>
          <w:p/>
        </w:tc>
        <w:tc>
          <w:tcPr>
            <w:vMerge w:val="continue"/>
          </w:tcPr>
          <w:p/>
        </w:tc>
        <w:tc>
          <w:tcPr>
            <w:vMerge w:val="continue"/>
          </w:tcPr>
          <w:p/>
        </w:tc>
        <w:tc>
          <w:tcPr>
            <w:vMerge w:val="continue"/>
          </w:tcPr>
          <w:p/>
        </w:tc>
        <w:tc>
          <w:tcPr>
            <w:tcW w:w="3515" w:type="dxa"/>
          </w:tcPr>
          <w:p>
            <w:pPr>
              <w:pStyle w:val="0"/>
            </w:pPr>
            <w:r>
              <w:rPr>
                <w:sz w:val="20"/>
              </w:rPr>
              <w:t xml:space="preserve">Количество новых мест в общеобразовательных организациях муниципальных образований</w:t>
            </w:r>
          </w:p>
        </w:tc>
        <w:tc>
          <w:tcPr>
            <w:tcW w:w="737" w:type="dxa"/>
          </w:tcPr>
          <w:p>
            <w:pPr>
              <w:pStyle w:val="0"/>
            </w:pPr>
            <w:r>
              <w:rPr>
                <w:sz w:val="20"/>
              </w:rPr>
              <w:t xml:space="preserve">ед.</w:t>
            </w:r>
          </w:p>
        </w:tc>
        <w:tc>
          <w:tcPr>
            <w:tcW w:w="1077" w:type="dxa"/>
          </w:tcPr>
          <w:p>
            <w:pPr>
              <w:pStyle w:val="0"/>
              <w:jc w:val="center"/>
            </w:pPr>
            <w:r>
              <w:rPr>
                <w:sz w:val="20"/>
              </w:rPr>
              <w:t xml:space="preserve">2200</w:t>
            </w:r>
          </w:p>
        </w:tc>
        <w:tc>
          <w:tcPr>
            <w:tcW w:w="1077" w:type="dxa"/>
          </w:tcPr>
          <w:p>
            <w:pPr>
              <w:pStyle w:val="0"/>
              <w:jc w:val="center"/>
            </w:pPr>
            <w:r>
              <w:rPr>
                <w:sz w:val="20"/>
              </w:rPr>
              <w:t xml:space="preserve">650</w:t>
            </w:r>
          </w:p>
        </w:tc>
        <w:tc>
          <w:tcPr>
            <w:tcW w:w="1077" w:type="dxa"/>
          </w:tcPr>
          <w:p>
            <w:pPr>
              <w:pStyle w:val="0"/>
              <w:jc w:val="center"/>
            </w:pPr>
            <w:r>
              <w:rPr>
                <w:sz w:val="20"/>
              </w:rPr>
              <w:t xml:space="preserve">4300</w:t>
            </w:r>
          </w:p>
        </w:tc>
      </w:tr>
      <w:tr>
        <w:tc>
          <w:tcPr>
            <w:tcW w:w="624" w:type="dxa"/>
          </w:tcPr>
          <w:p>
            <w:pPr>
              <w:pStyle w:val="0"/>
              <w:jc w:val="center"/>
            </w:pPr>
            <w:r>
              <w:rPr>
                <w:sz w:val="20"/>
              </w:rPr>
              <w:t xml:space="preserve">35.</w:t>
            </w:r>
          </w:p>
        </w:tc>
        <w:tc>
          <w:tcPr>
            <w:tcW w:w="2608" w:type="dxa"/>
          </w:tcPr>
          <w:p>
            <w:pPr>
              <w:pStyle w:val="0"/>
            </w:pPr>
            <w:r>
              <w:rPr>
                <w:sz w:val="20"/>
              </w:rPr>
              <w:t xml:space="preserve">Субсидии на создание новых мест в общеобразовательных организациях, расположенных в сельской местности и поселках городского типа</w:t>
            </w:r>
          </w:p>
        </w:tc>
        <w:tc>
          <w:tcPr>
            <w:tcW w:w="1644" w:type="dxa"/>
          </w:tcPr>
          <w:p>
            <w:pPr>
              <w:pStyle w:val="0"/>
            </w:pPr>
            <w:r>
              <w:rPr>
                <w:sz w:val="20"/>
              </w:rPr>
              <w:t xml:space="preserve">Государственная программа Владимирской области "Развитие образования"</w:t>
            </w:r>
          </w:p>
        </w:tc>
        <w:tc>
          <w:tcPr>
            <w:tcW w:w="1247" w:type="dxa"/>
          </w:tcPr>
          <w:p>
            <w:pPr>
              <w:pStyle w:val="0"/>
            </w:pPr>
            <w:r>
              <w:rPr>
                <w:sz w:val="20"/>
              </w:rPr>
              <w:t xml:space="preserve">Департамент образования Владимирской области</w:t>
            </w:r>
          </w:p>
        </w:tc>
        <w:tc>
          <w:tcPr>
            <w:tcW w:w="3515" w:type="dxa"/>
          </w:tcPr>
          <w:p>
            <w:pPr>
              <w:pStyle w:val="0"/>
            </w:pPr>
            <w:r>
              <w:rPr>
                <w:sz w:val="20"/>
              </w:rPr>
              <w:t xml:space="preserve">Количество новых мест в общеобразовательных организациях субъекта Российской Федерации, введенных путем реализации мероприятий региональных программ (региональных проектов), софинансируемых из федерального бюджета</w:t>
            </w:r>
          </w:p>
        </w:tc>
        <w:tc>
          <w:tcPr>
            <w:tcW w:w="737" w:type="dxa"/>
          </w:tcPr>
          <w:p>
            <w:pPr>
              <w:pStyle w:val="0"/>
            </w:pPr>
            <w:r>
              <w:rPr>
                <w:sz w:val="20"/>
              </w:rPr>
              <w:t xml:space="preserve">ед.</w:t>
            </w:r>
          </w:p>
        </w:tc>
        <w:tc>
          <w:tcPr>
            <w:tcW w:w="1077" w:type="dxa"/>
          </w:tcPr>
          <w:p>
            <w:pPr>
              <w:pStyle w:val="0"/>
              <w:jc w:val="center"/>
            </w:pPr>
            <w:r>
              <w:rPr>
                <w:sz w:val="20"/>
              </w:rPr>
              <w:t xml:space="preserve">0</w:t>
            </w:r>
          </w:p>
        </w:tc>
        <w:tc>
          <w:tcPr>
            <w:tcW w:w="1077" w:type="dxa"/>
          </w:tcPr>
          <w:p>
            <w:pPr>
              <w:pStyle w:val="0"/>
              <w:jc w:val="center"/>
            </w:pPr>
            <w:r>
              <w:rPr>
                <w:sz w:val="20"/>
              </w:rPr>
              <w:t xml:space="preserve">150</w:t>
            </w:r>
          </w:p>
        </w:tc>
        <w:tc>
          <w:tcPr>
            <w:tcW w:w="1077" w:type="dxa"/>
          </w:tcPr>
          <w:p>
            <w:pPr>
              <w:pStyle w:val="0"/>
              <w:jc w:val="center"/>
            </w:pPr>
            <w:r>
              <w:rPr>
                <w:sz w:val="20"/>
              </w:rPr>
              <w:t xml:space="preserve">0</w:t>
            </w:r>
          </w:p>
        </w:tc>
      </w:tr>
      <w:tr>
        <w:tc>
          <w:tcPr>
            <w:tcW w:w="624" w:type="dxa"/>
            <w:vMerge w:val="restart"/>
          </w:tcPr>
          <w:p>
            <w:pPr>
              <w:pStyle w:val="0"/>
              <w:jc w:val="center"/>
            </w:pPr>
            <w:r>
              <w:rPr>
                <w:sz w:val="20"/>
              </w:rPr>
              <w:t xml:space="preserve">36.</w:t>
            </w:r>
          </w:p>
        </w:tc>
        <w:tc>
          <w:tcPr>
            <w:tcW w:w="2608" w:type="dxa"/>
            <w:vMerge w:val="restart"/>
          </w:tcPr>
          <w:p>
            <w:pPr>
              <w:pStyle w:val="0"/>
            </w:pPr>
            <w:r>
              <w:rPr>
                <w:sz w:val="20"/>
              </w:rPr>
              <w:t xml:space="preserve">Субсидии на 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1644" w:type="dxa"/>
            <w:vMerge w:val="restart"/>
          </w:tcPr>
          <w:p>
            <w:pPr>
              <w:pStyle w:val="0"/>
            </w:pPr>
            <w:r>
              <w:rPr>
                <w:sz w:val="20"/>
              </w:rPr>
              <w:t xml:space="preserve">Государственная программа Владимирской области "Развитие образования"</w:t>
            </w:r>
          </w:p>
        </w:tc>
        <w:tc>
          <w:tcPr>
            <w:tcW w:w="1247" w:type="dxa"/>
            <w:vMerge w:val="restart"/>
          </w:tcPr>
          <w:p>
            <w:pPr>
              <w:pStyle w:val="0"/>
            </w:pPr>
            <w:r>
              <w:rPr>
                <w:sz w:val="20"/>
              </w:rPr>
              <w:t xml:space="preserve">Департамент образования Владимирской области</w:t>
            </w:r>
          </w:p>
        </w:tc>
        <w:tc>
          <w:tcPr>
            <w:tcW w:w="3515" w:type="dxa"/>
          </w:tcPr>
          <w:p>
            <w:pPr>
              <w:pStyle w:val="0"/>
            </w:pPr>
            <w:r>
              <w:rPr>
                <w:sz w:val="20"/>
              </w:rPr>
              <w:t xml:space="preserve">Количество дополнительных мест в дошкольных организациях для детей в возрасте от 1,5 до 3 лет, созданных в ходе реализации региональной программы</w:t>
            </w:r>
          </w:p>
        </w:tc>
        <w:tc>
          <w:tcPr>
            <w:tcW w:w="737" w:type="dxa"/>
          </w:tcPr>
          <w:p>
            <w:pPr>
              <w:pStyle w:val="0"/>
            </w:pPr>
            <w:r>
              <w:rPr>
                <w:sz w:val="20"/>
              </w:rPr>
              <w:t xml:space="preserve">ед.</w:t>
            </w:r>
          </w:p>
        </w:tc>
        <w:tc>
          <w:tcPr>
            <w:tcW w:w="1077" w:type="dxa"/>
          </w:tcPr>
          <w:p>
            <w:pPr>
              <w:pStyle w:val="0"/>
              <w:jc w:val="center"/>
            </w:pPr>
            <w:r>
              <w:rPr>
                <w:sz w:val="20"/>
              </w:rPr>
              <w:t xml:space="preserve">0</w:t>
            </w:r>
          </w:p>
        </w:tc>
        <w:tc>
          <w:tcPr>
            <w:tcW w:w="1077" w:type="dxa"/>
          </w:tcPr>
          <w:p>
            <w:pPr>
              <w:pStyle w:val="0"/>
              <w:jc w:val="center"/>
            </w:pPr>
            <w:r>
              <w:rPr>
                <w:sz w:val="20"/>
              </w:rPr>
              <w:t xml:space="preserve">0</w:t>
            </w:r>
          </w:p>
        </w:tc>
        <w:tc>
          <w:tcPr>
            <w:tcW w:w="1077" w:type="dxa"/>
          </w:tcPr>
          <w:p>
            <w:pPr>
              <w:pStyle w:val="0"/>
              <w:jc w:val="center"/>
            </w:pPr>
            <w:r>
              <w:rPr>
                <w:sz w:val="20"/>
              </w:rPr>
              <w:t xml:space="preserve">0</w:t>
            </w:r>
          </w:p>
        </w:tc>
      </w:tr>
      <w:tr>
        <w:tc>
          <w:tcPr>
            <w:vMerge w:val="continue"/>
          </w:tcPr>
          <w:p/>
        </w:tc>
        <w:tc>
          <w:tcPr>
            <w:vMerge w:val="continue"/>
          </w:tcPr>
          <w:p/>
        </w:tc>
        <w:tc>
          <w:tcPr>
            <w:vMerge w:val="continue"/>
          </w:tcPr>
          <w:p/>
        </w:tc>
        <w:tc>
          <w:tcPr>
            <w:vMerge w:val="continue"/>
          </w:tcPr>
          <w:p/>
        </w:tc>
        <w:tc>
          <w:tcPr>
            <w:tcW w:w="3515" w:type="dxa"/>
          </w:tcPr>
          <w:p>
            <w:pPr>
              <w:pStyle w:val="0"/>
            </w:pPr>
            <w:r>
              <w:rPr>
                <w:sz w:val="20"/>
              </w:rPr>
              <w:t xml:space="preserve">Количество новых мест в дошкольных организациях муниципальных образований</w:t>
            </w:r>
          </w:p>
        </w:tc>
        <w:tc>
          <w:tcPr>
            <w:tcW w:w="737" w:type="dxa"/>
          </w:tcPr>
          <w:p>
            <w:pPr>
              <w:pStyle w:val="0"/>
            </w:pPr>
            <w:r>
              <w:rPr>
                <w:sz w:val="20"/>
              </w:rPr>
              <w:t xml:space="preserve">ед.</w:t>
            </w:r>
          </w:p>
        </w:tc>
        <w:tc>
          <w:tcPr>
            <w:tcW w:w="1077" w:type="dxa"/>
          </w:tcPr>
          <w:p>
            <w:pPr>
              <w:pStyle w:val="0"/>
              <w:jc w:val="center"/>
            </w:pPr>
            <w:r>
              <w:rPr>
                <w:sz w:val="20"/>
              </w:rPr>
              <w:t xml:space="preserve">0</w:t>
            </w:r>
          </w:p>
        </w:tc>
        <w:tc>
          <w:tcPr>
            <w:tcW w:w="1077" w:type="dxa"/>
          </w:tcPr>
          <w:p>
            <w:pPr>
              <w:pStyle w:val="0"/>
              <w:jc w:val="center"/>
            </w:pPr>
            <w:r>
              <w:rPr>
                <w:sz w:val="20"/>
              </w:rPr>
              <w:t xml:space="preserve">0</w:t>
            </w:r>
          </w:p>
        </w:tc>
        <w:tc>
          <w:tcPr>
            <w:tcW w:w="1077" w:type="dxa"/>
          </w:tcPr>
          <w:p>
            <w:pPr>
              <w:pStyle w:val="0"/>
              <w:jc w:val="center"/>
            </w:pPr>
            <w:r>
              <w:rPr>
                <w:sz w:val="20"/>
              </w:rPr>
              <w:t xml:space="preserve">0</w:t>
            </w:r>
          </w:p>
        </w:tc>
      </w:tr>
      <w:tr>
        <w:tc>
          <w:tcPr>
            <w:tcW w:w="624" w:type="dxa"/>
            <w:vMerge w:val="restart"/>
          </w:tcPr>
          <w:p>
            <w:pPr>
              <w:pStyle w:val="0"/>
              <w:jc w:val="center"/>
            </w:pPr>
            <w:r>
              <w:rPr>
                <w:sz w:val="20"/>
              </w:rPr>
              <w:t xml:space="preserve">37.</w:t>
            </w:r>
          </w:p>
        </w:tc>
        <w:tc>
          <w:tcPr>
            <w:tcW w:w="2608" w:type="dxa"/>
            <w:vMerge w:val="restart"/>
          </w:tcPr>
          <w:p>
            <w:pPr>
              <w:pStyle w:val="0"/>
            </w:pPr>
            <w:r>
              <w:rPr>
                <w:sz w:val="20"/>
              </w:rPr>
              <w:t xml:space="preserve">Субсидии на проведение мероприятий по созданию в образовательных организациях условий для получения детьми-инвалидами качественного образования</w:t>
            </w:r>
          </w:p>
        </w:tc>
        <w:tc>
          <w:tcPr>
            <w:tcW w:w="1644" w:type="dxa"/>
            <w:vMerge w:val="restart"/>
          </w:tcPr>
          <w:p>
            <w:pPr>
              <w:pStyle w:val="0"/>
            </w:pPr>
            <w:r>
              <w:rPr>
                <w:sz w:val="20"/>
              </w:rPr>
              <w:t xml:space="preserve">Государственная программа Владимирской области "Социальная поддержка отдельных категорий граждан во Владимирской области"</w:t>
            </w:r>
          </w:p>
        </w:tc>
        <w:tc>
          <w:tcPr>
            <w:tcW w:w="1247" w:type="dxa"/>
            <w:vMerge w:val="restart"/>
          </w:tcPr>
          <w:p>
            <w:pPr>
              <w:pStyle w:val="0"/>
            </w:pPr>
            <w:r>
              <w:rPr>
                <w:sz w:val="20"/>
              </w:rPr>
              <w:t xml:space="preserve">Департамент образования Владимирской области</w:t>
            </w:r>
          </w:p>
        </w:tc>
        <w:tc>
          <w:tcPr>
            <w:tcW w:w="3515" w:type="dxa"/>
          </w:tcPr>
          <w:p>
            <w:pPr>
              <w:pStyle w:val="0"/>
            </w:pPr>
            <w:r>
              <w:rPr>
                <w:sz w:val="20"/>
              </w:rPr>
              <w:t xml:space="preserve">Доля детей-инвалидов в возрасте от 1,5 до 7 лет, охваченных дошкольным образованием, от общей численности детей-инвалидов данного возраста</w:t>
            </w:r>
          </w:p>
        </w:tc>
        <w:tc>
          <w:tcPr>
            <w:tcW w:w="737" w:type="dxa"/>
          </w:tcPr>
          <w:p>
            <w:pPr>
              <w:pStyle w:val="0"/>
            </w:pPr>
            <w:r>
              <w:rPr>
                <w:sz w:val="20"/>
              </w:rPr>
              <w:t xml:space="preserve">%</w:t>
            </w:r>
          </w:p>
        </w:tc>
        <w:tc>
          <w:tcPr>
            <w:tcW w:w="1077" w:type="dxa"/>
          </w:tcPr>
          <w:p>
            <w:pPr>
              <w:pStyle w:val="0"/>
              <w:jc w:val="center"/>
            </w:pPr>
            <w:r>
              <w:rPr>
                <w:sz w:val="20"/>
              </w:rPr>
              <w:t xml:space="preserve">100</w:t>
            </w:r>
          </w:p>
        </w:tc>
        <w:tc>
          <w:tcPr>
            <w:tcW w:w="1077" w:type="dxa"/>
          </w:tcPr>
          <w:p>
            <w:pPr>
              <w:pStyle w:val="0"/>
              <w:jc w:val="center"/>
            </w:pPr>
            <w:r>
              <w:rPr>
                <w:sz w:val="20"/>
              </w:rPr>
              <w:t xml:space="preserve">100</w:t>
            </w:r>
          </w:p>
        </w:tc>
        <w:tc>
          <w:tcPr>
            <w:tcW w:w="1077" w:type="dxa"/>
          </w:tcPr>
          <w:p>
            <w:pPr>
              <w:pStyle w:val="0"/>
              <w:jc w:val="center"/>
            </w:pPr>
            <w:r>
              <w:rPr>
                <w:sz w:val="20"/>
              </w:rPr>
              <w:t xml:space="preserve">100</w:t>
            </w:r>
          </w:p>
        </w:tc>
      </w:tr>
      <w:tr>
        <w:tc>
          <w:tcPr>
            <w:vMerge w:val="continue"/>
          </w:tcPr>
          <w:p/>
        </w:tc>
        <w:tc>
          <w:tcPr>
            <w:vMerge w:val="continue"/>
          </w:tcPr>
          <w:p/>
        </w:tc>
        <w:tc>
          <w:tcPr>
            <w:vMerge w:val="continue"/>
          </w:tcPr>
          <w:p/>
        </w:tc>
        <w:tc>
          <w:tcPr>
            <w:vMerge w:val="continue"/>
          </w:tcPr>
          <w:p/>
        </w:tc>
        <w:tc>
          <w:tcPr>
            <w:tcW w:w="3515" w:type="dxa"/>
          </w:tcPr>
          <w:p>
            <w:pPr>
              <w:pStyle w:val="0"/>
            </w:pPr>
            <w:r>
              <w:rPr>
                <w:sz w:val="20"/>
              </w:rPr>
              <w:t xml:space="preserve">Доля детей-инвалидов, которым созданы условия для получения качественного начального общего, основного общего, среднего общего образования, от общей численности детей-инвалидов школьного возраста</w:t>
            </w:r>
          </w:p>
        </w:tc>
        <w:tc>
          <w:tcPr>
            <w:tcW w:w="737" w:type="dxa"/>
          </w:tcPr>
          <w:p>
            <w:pPr>
              <w:pStyle w:val="0"/>
            </w:pPr>
            <w:r>
              <w:rPr>
                <w:sz w:val="20"/>
              </w:rPr>
              <w:t xml:space="preserve">%</w:t>
            </w:r>
          </w:p>
        </w:tc>
        <w:tc>
          <w:tcPr>
            <w:tcW w:w="1077" w:type="dxa"/>
          </w:tcPr>
          <w:p>
            <w:pPr>
              <w:pStyle w:val="0"/>
              <w:jc w:val="center"/>
            </w:pPr>
            <w:r>
              <w:rPr>
                <w:sz w:val="20"/>
              </w:rPr>
              <w:t xml:space="preserve">100</w:t>
            </w:r>
          </w:p>
        </w:tc>
        <w:tc>
          <w:tcPr>
            <w:tcW w:w="1077" w:type="dxa"/>
          </w:tcPr>
          <w:p>
            <w:pPr>
              <w:pStyle w:val="0"/>
              <w:jc w:val="center"/>
            </w:pPr>
            <w:r>
              <w:rPr>
                <w:sz w:val="20"/>
              </w:rPr>
              <w:t xml:space="preserve">100</w:t>
            </w:r>
          </w:p>
        </w:tc>
        <w:tc>
          <w:tcPr>
            <w:tcW w:w="1077" w:type="dxa"/>
          </w:tcPr>
          <w:p>
            <w:pPr>
              <w:pStyle w:val="0"/>
              <w:jc w:val="center"/>
            </w:pPr>
            <w:r>
              <w:rPr>
                <w:sz w:val="20"/>
              </w:rPr>
              <w:t xml:space="preserve">100</w:t>
            </w:r>
          </w:p>
        </w:tc>
      </w:tr>
      <w:tr>
        <w:tc>
          <w:tcPr>
            <w:vMerge w:val="continue"/>
          </w:tcPr>
          <w:p/>
        </w:tc>
        <w:tc>
          <w:tcPr>
            <w:vMerge w:val="continue"/>
          </w:tcPr>
          <w:p/>
        </w:tc>
        <w:tc>
          <w:tcPr>
            <w:vMerge w:val="continue"/>
          </w:tcPr>
          <w:p/>
        </w:tc>
        <w:tc>
          <w:tcPr>
            <w:vMerge w:val="continue"/>
          </w:tcPr>
          <w:p/>
        </w:tc>
        <w:tc>
          <w:tcPr>
            <w:tcW w:w="3515" w:type="dxa"/>
          </w:tcPr>
          <w:p>
            <w:pPr>
              <w:pStyle w:val="0"/>
            </w:pPr>
            <w:r>
              <w:rPr>
                <w:sz w:val="20"/>
              </w:rPr>
              <w:t xml:space="preserve">Доля детей-инвалидов в возрасте от 5 до 18 лет, получающих дополнительное образование, от общей численности детей-инвалидов данного возраста</w:t>
            </w:r>
          </w:p>
        </w:tc>
        <w:tc>
          <w:tcPr>
            <w:tcW w:w="737" w:type="dxa"/>
          </w:tcPr>
          <w:p>
            <w:pPr>
              <w:pStyle w:val="0"/>
            </w:pPr>
            <w:r>
              <w:rPr>
                <w:sz w:val="20"/>
              </w:rPr>
              <w:t xml:space="preserve">%</w:t>
            </w:r>
          </w:p>
        </w:tc>
        <w:tc>
          <w:tcPr>
            <w:tcW w:w="1077" w:type="dxa"/>
          </w:tcPr>
          <w:p>
            <w:pPr>
              <w:pStyle w:val="0"/>
              <w:jc w:val="center"/>
            </w:pPr>
            <w:r>
              <w:rPr>
                <w:sz w:val="20"/>
              </w:rPr>
              <w:t xml:space="preserve">50</w:t>
            </w:r>
          </w:p>
        </w:tc>
        <w:tc>
          <w:tcPr>
            <w:tcW w:w="1077" w:type="dxa"/>
          </w:tcPr>
          <w:p>
            <w:pPr>
              <w:pStyle w:val="0"/>
              <w:jc w:val="center"/>
            </w:pPr>
            <w:r>
              <w:rPr>
                <w:sz w:val="20"/>
              </w:rPr>
              <w:t xml:space="preserve">50</w:t>
            </w:r>
          </w:p>
        </w:tc>
        <w:tc>
          <w:tcPr>
            <w:tcW w:w="1077" w:type="dxa"/>
          </w:tcPr>
          <w:p>
            <w:pPr>
              <w:pStyle w:val="0"/>
              <w:jc w:val="center"/>
            </w:pPr>
            <w:r>
              <w:rPr>
                <w:sz w:val="20"/>
              </w:rPr>
              <w:t xml:space="preserve">50</w:t>
            </w:r>
          </w:p>
        </w:tc>
      </w:tr>
      <w:tr>
        <w:tc>
          <w:tcPr>
            <w:vMerge w:val="continue"/>
          </w:tcPr>
          <w:p/>
        </w:tc>
        <w:tc>
          <w:tcPr>
            <w:vMerge w:val="continue"/>
          </w:tcPr>
          <w:p/>
        </w:tc>
        <w:tc>
          <w:tcPr>
            <w:vMerge w:val="continue"/>
          </w:tcPr>
          <w:p/>
        </w:tc>
        <w:tc>
          <w:tcPr>
            <w:vMerge w:val="continue"/>
          </w:tcPr>
          <w:p/>
        </w:tc>
        <w:tc>
          <w:tcPr>
            <w:tcW w:w="3515" w:type="dxa"/>
          </w:tcPr>
          <w:p>
            <w:pPr>
              <w:pStyle w:val="0"/>
            </w:pPr>
            <w:r>
              <w:rPr>
                <w:sz w:val="20"/>
              </w:rPr>
              <w:t xml:space="preserve">Доля дошкольных образовательных организаций, в которых создана универсальная безбарьерная среда для инклюзивного образования детей-инвалидов, в общем количестве дошкольных образовательных организаций</w:t>
            </w:r>
          </w:p>
        </w:tc>
        <w:tc>
          <w:tcPr>
            <w:tcW w:w="737" w:type="dxa"/>
          </w:tcPr>
          <w:p>
            <w:pPr>
              <w:pStyle w:val="0"/>
            </w:pPr>
            <w:r>
              <w:rPr>
                <w:sz w:val="20"/>
              </w:rPr>
              <w:t xml:space="preserve">%</w:t>
            </w:r>
          </w:p>
        </w:tc>
        <w:tc>
          <w:tcPr>
            <w:tcW w:w="1077" w:type="dxa"/>
          </w:tcPr>
          <w:p>
            <w:pPr>
              <w:pStyle w:val="0"/>
              <w:jc w:val="center"/>
            </w:pPr>
            <w:r>
              <w:rPr>
                <w:sz w:val="20"/>
              </w:rPr>
              <w:t xml:space="preserve">19,5</w:t>
            </w:r>
          </w:p>
        </w:tc>
        <w:tc>
          <w:tcPr>
            <w:tcW w:w="1077" w:type="dxa"/>
          </w:tcPr>
          <w:p>
            <w:pPr>
              <w:pStyle w:val="0"/>
              <w:jc w:val="center"/>
            </w:pPr>
            <w:r>
              <w:rPr>
                <w:sz w:val="20"/>
              </w:rPr>
              <w:t xml:space="preserve">20</w:t>
            </w:r>
          </w:p>
        </w:tc>
        <w:tc>
          <w:tcPr>
            <w:tcW w:w="1077" w:type="dxa"/>
          </w:tcPr>
          <w:p>
            <w:pPr>
              <w:pStyle w:val="0"/>
              <w:jc w:val="center"/>
            </w:pPr>
            <w:r>
              <w:rPr>
                <w:sz w:val="20"/>
              </w:rPr>
              <w:t xml:space="preserve">20,5</w:t>
            </w:r>
          </w:p>
        </w:tc>
      </w:tr>
      <w:tr>
        <w:tc>
          <w:tcPr>
            <w:vMerge w:val="continue"/>
          </w:tcPr>
          <w:p/>
        </w:tc>
        <w:tc>
          <w:tcPr>
            <w:vMerge w:val="continue"/>
          </w:tcPr>
          <w:p/>
        </w:tc>
        <w:tc>
          <w:tcPr>
            <w:vMerge w:val="continue"/>
          </w:tcPr>
          <w:p/>
        </w:tc>
        <w:tc>
          <w:tcPr>
            <w:vMerge w:val="continue"/>
          </w:tcPr>
          <w:p/>
        </w:tc>
        <w:tc>
          <w:tcPr>
            <w:tcW w:w="3515" w:type="dxa"/>
          </w:tcPr>
          <w:p>
            <w:pPr>
              <w:pStyle w:val="0"/>
            </w:pPr>
            <w:r>
              <w:rPr>
                <w:sz w:val="20"/>
              </w:rPr>
              <w:t xml:space="preserve">Доля общеобразовательных организаций, в которых создана универсальная безбарьерная среда для инклюзивного образования детей-инвалидов, в общем количестве общеобразовательных организаций</w:t>
            </w:r>
          </w:p>
        </w:tc>
        <w:tc>
          <w:tcPr>
            <w:tcW w:w="737" w:type="dxa"/>
          </w:tcPr>
          <w:p>
            <w:pPr>
              <w:pStyle w:val="0"/>
            </w:pPr>
            <w:r>
              <w:rPr>
                <w:sz w:val="20"/>
              </w:rPr>
              <w:t xml:space="preserve">%</w:t>
            </w:r>
          </w:p>
        </w:tc>
        <w:tc>
          <w:tcPr>
            <w:tcW w:w="1077" w:type="dxa"/>
          </w:tcPr>
          <w:p>
            <w:pPr>
              <w:pStyle w:val="0"/>
              <w:jc w:val="center"/>
            </w:pPr>
            <w:r>
              <w:rPr>
                <w:sz w:val="20"/>
              </w:rPr>
              <w:t xml:space="preserve">25</w:t>
            </w:r>
          </w:p>
        </w:tc>
        <w:tc>
          <w:tcPr>
            <w:tcW w:w="1077" w:type="dxa"/>
          </w:tcPr>
          <w:p>
            <w:pPr>
              <w:pStyle w:val="0"/>
              <w:jc w:val="center"/>
            </w:pPr>
            <w:r>
              <w:rPr>
                <w:sz w:val="20"/>
              </w:rPr>
              <w:t xml:space="preserve">25</w:t>
            </w:r>
          </w:p>
        </w:tc>
        <w:tc>
          <w:tcPr>
            <w:tcW w:w="1077" w:type="dxa"/>
          </w:tcPr>
          <w:p>
            <w:pPr>
              <w:pStyle w:val="0"/>
              <w:jc w:val="center"/>
            </w:pPr>
            <w:r>
              <w:rPr>
                <w:sz w:val="20"/>
              </w:rPr>
              <w:t xml:space="preserve">25</w:t>
            </w:r>
          </w:p>
        </w:tc>
      </w:tr>
      <w:tr>
        <w:tc>
          <w:tcPr>
            <w:vMerge w:val="continue"/>
          </w:tcPr>
          <w:p/>
        </w:tc>
        <w:tc>
          <w:tcPr>
            <w:vMerge w:val="continue"/>
          </w:tcPr>
          <w:p/>
        </w:tc>
        <w:tc>
          <w:tcPr>
            <w:vMerge w:val="continue"/>
          </w:tcPr>
          <w:p/>
        </w:tc>
        <w:tc>
          <w:tcPr>
            <w:vMerge w:val="continue"/>
          </w:tcPr>
          <w:p/>
        </w:tc>
        <w:tc>
          <w:tcPr>
            <w:tcW w:w="3515" w:type="dxa"/>
          </w:tcPr>
          <w:p>
            <w:pPr>
              <w:pStyle w:val="0"/>
            </w:pPr>
            <w:r>
              <w:rPr>
                <w:sz w:val="20"/>
              </w:rPr>
              <w:t xml:space="preserve">Доля выпускников-инвалидов 9 и 11 классов, охваченных профориентационной работой, в общей численности выпускников-инвалидов</w:t>
            </w:r>
          </w:p>
        </w:tc>
        <w:tc>
          <w:tcPr>
            <w:tcW w:w="737" w:type="dxa"/>
          </w:tcPr>
          <w:p>
            <w:pPr>
              <w:pStyle w:val="0"/>
            </w:pPr>
            <w:r>
              <w:rPr>
                <w:sz w:val="20"/>
              </w:rPr>
              <w:t xml:space="preserve">%</w:t>
            </w:r>
          </w:p>
        </w:tc>
        <w:tc>
          <w:tcPr>
            <w:tcW w:w="1077" w:type="dxa"/>
          </w:tcPr>
          <w:p>
            <w:pPr>
              <w:pStyle w:val="0"/>
              <w:jc w:val="center"/>
            </w:pPr>
            <w:r>
              <w:rPr>
                <w:sz w:val="20"/>
              </w:rPr>
              <w:t xml:space="preserve">100</w:t>
            </w:r>
          </w:p>
        </w:tc>
        <w:tc>
          <w:tcPr>
            <w:tcW w:w="1077" w:type="dxa"/>
          </w:tcPr>
          <w:p>
            <w:pPr>
              <w:pStyle w:val="0"/>
              <w:jc w:val="center"/>
            </w:pPr>
            <w:r>
              <w:rPr>
                <w:sz w:val="20"/>
              </w:rPr>
              <w:t xml:space="preserve">100</w:t>
            </w:r>
          </w:p>
        </w:tc>
        <w:tc>
          <w:tcPr>
            <w:tcW w:w="1077" w:type="dxa"/>
          </w:tcPr>
          <w:p>
            <w:pPr>
              <w:pStyle w:val="0"/>
              <w:jc w:val="center"/>
            </w:pPr>
            <w:r>
              <w:rPr>
                <w:sz w:val="20"/>
              </w:rPr>
              <w:t xml:space="preserve">100</w:t>
            </w:r>
          </w:p>
        </w:tc>
      </w:tr>
      <w:tr>
        <w:tc>
          <w:tcPr>
            <w:tcW w:w="624" w:type="dxa"/>
          </w:tcPr>
          <w:p>
            <w:pPr>
              <w:pStyle w:val="0"/>
              <w:jc w:val="center"/>
            </w:pPr>
            <w:r>
              <w:rPr>
                <w:sz w:val="20"/>
              </w:rPr>
              <w:t xml:space="preserve">38.</w:t>
            </w:r>
          </w:p>
        </w:tc>
        <w:tc>
          <w:tcPr>
            <w:tcW w:w="2608" w:type="dxa"/>
          </w:tcPr>
          <w:p>
            <w:pPr>
              <w:pStyle w:val="0"/>
            </w:pPr>
            <w:r>
              <w:rPr>
                <w:sz w:val="20"/>
              </w:rPr>
              <w:t xml:space="preserve">Субсидии на мероприятия по обеспечению антитеррористической защищенности учреждений образования и предупреждению правонарушений и антиобщественных действий несовершеннолетних</w:t>
            </w:r>
          </w:p>
        </w:tc>
        <w:tc>
          <w:tcPr>
            <w:tcW w:w="1644" w:type="dxa"/>
          </w:tcPr>
          <w:p>
            <w:pPr>
              <w:pStyle w:val="0"/>
            </w:pPr>
            <w:r>
              <w:rPr>
                <w:sz w:val="20"/>
              </w:rPr>
              <w:t xml:space="preserve">Государственная программа Владимирской области "Обеспечение безопасности населения и территорий во Владимирской области"</w:t>
            </w:r>
          </w:p>
        </w:tc>
        <w:tc>
          <w:tcPr>
            <w:tcW w:w="1247" w:type="dxa"/>
          </w:tcPr>
          <w:p>
            <w:pPr>
              <w:pStyle w:val="0"/>
            </w:pPr>
            <w:r>
              <w:rPr>
                <w:sz w:val="20"/>
              </w:rPr>
              <w:t xml:space="preserve">Департамент образования Владимирской области</w:t>
            </w:r>
          </w:p>
        </w:tc>
        <w:tc>
          <w:tcPr>
            <w:tcW w:w="3515" w:type="dxa"/>
          </w:tcPr>
          <w:p>
            <w:pPr>
              <w:pStyle w:val="0"/>
            </w:pPr>
            <w:r>
              <w:rPr>
                <w:sz w:val="20"/>
              </w:rPr>
              <w:t xml:space="preserve">Общее количество зарегистрированных преступлений на территории области (по отношению к показателям 2015 года)</w:t>
            </w:r>
          </w:p>
        </w:tc>
        <w:tc>
          <w:tcPr>
            <w:tcW w:w="737" w:type="dxa"/>
          </w:tcPr>
          <w:p>
            <w:pPr>
              <w:pStyle w:val="0"/>
            </w:pPr>
            <w:r>
              <w:rPr>
                <w:sz w:val="20"/>
              </w:rPr>
              <w:t xml:space="preserve">%</w:t>
            </w:r>
          </w:p>
        </w:tc>
        <w:tc>
          <w:tcPr>
            <w:tcW w:w="1077" w:type="dxa"/>
          </w:tcPr>
          <w:p>
            <w:pPr>
              <w:pStyle w:val="0"/>
              <w:jc w:val="center"/>
            </w:pPr>
            <w:r>
              <w:rPr>
                <w:sz w:val="20"/>
              </w:rPr>
              <w:t xml:space="preserve">92</w:t>
            </w:r>
          </w:p>
        </w:tc>
        <w:tc>
          <w:tcPr>
            <w:tcW w:w="1077" w:type="dxa"/>
          </w:tcPr>
          <w:p>
            <w:pPr>
              <w:pStyle w:val="0"/>
              <w:jc w:val="center"/>
            </w:pPr>
            <w:r>
              <w:rPr>
                <w:sz w:val="20"/>
              </w:rPr>
              <w:t xml:space="preserve">91</w:t>
            </w:r>
          </w:p>
        </w:tc>
        <w:tc>
          <w:tcPr>
            <w:tcW w:w="1077" w:type="dxa"/>
          </w:tcPr>
          <w:p>
            <w:pPr>
              <w:pStyle w:val="0"/>
              <w:jc w:val="center"/>
            </w:pPr>
            <w:r>
              <w:rPr>
                <w:sz w:val="20"/>
              </w:rPr>
              <w:t xml:space="preserve">-</w:t>
            </w:r>
          </w:p>
        </w:tc>
      </w:tr>
      <w:tr>
        <w:tc>
          <w:tcPr>
            <w:tcW w:w="624" w:type="dxa"/>
          </w:tcPr>
          <w:p>
            <w:pPr>
              <w:pStyle w:val="0"/>
              <w:jc w:val="center"/>
            </w:pPr>
            <w:r>
              <w:rPr>
                <w:sz w:val="20"/>
              </w:rPr>
              <w:t xml:space="preserve">39.</w:t>
            </w:r>
          </w:p>
        </w:tc>
        <w:tc>
          <w:tcPr>
            <w:tcW w:w="2608" w:type="dxa"/>
          </w:tcPr>
          <w:p>
            <w:pPr>
              <w:pStyle w:val="0"/>
            </w:pPr>
            <w:r>
              <w:rPr>
                <w:sz w:val="20"/>
              </w:rPr>
              <w:t xml:space="preserve">Субсидии на создание и оборудование кабинетов наркопрофилактики в образовательных организациях</w:t>
            </w:r>
          </w:p>
        </w:tc>
        <w:tc>
          <w:tcPr>
            <w:tcW w:w="1644" w:type="dxa"/>
          </w:tcPr>
          <w:p>
            <w:pPr>
              <w:pStyle w:val="0"/>
            </w:pPr>
            <w:r>
              <w:rPr>
                <w:sz w:val="20"/>
              </w:rPr>
              <w:t xml:space="preserve">Государственная программа Владимирской области "Обеспечение безопасности населения и территорий во Владимирской области"</w:t>
            </w:r>
          </w:p>
        </w:tc>
        <w:tc>
          <w:tcPr>
            <w:tcW w:w="1247" w:type="dxa"/>
          </w:tcPr>
          <w:p>
            <w:pPr>
              <w:pStyle w:val="0"/>
            </w:pPr>
            <w:r>
              <w:rPr>
                <w:sz w:val="20"/>
              </w:rPr>
              <w:t xml:space="preserve">Департамент образования Владимирской области</w:t>
            </w:r>
          </w:p>
        </w:tc>
        <w:tc>
          <w:tcPr>
            <w:tcW w:w="3515" w:type="dxa"/>
          </w:tcPr>
          <w:p>
            <w:pPr>
              <w:pStyle w:val="0"/>
            </w:pPr>
            <w:r>
              <w:rPr>
                <w:sz w:val="20"/>
              </w:rPr>
              <w:t xml:space="preserve">Доля кабинетов наркопрофилактики, созданных на базе муниципальных средних и основных общеобразовательных организаций Владимирской области</w:t>
            </w:r>
          </w:p>
        </w:tc>
        <w:tc>
          <w:tcPr>
            <w:tcW w:w="737" w:type="dxa"/>
          </w:tcPr>
          <w:p>
            <w:pPr>
              <w:pStyle w:val="0"/>
            </w:pPr>
            <w:r>
              <w:rPr>
                <w:sz w:val="20"/>
              </w:rPr>
              <w:t xml:space="preserve">%</w:t>
            </w:r>
          </w:p>
        </w:tc>
        <w:tc>
          <w:tcPr>
            <w:tcW w:w="1077" w:type="dxa"/>
          </w:tcPr>
          <w:p>
            <w:pPr>
              <w:pStyle w:val="0"/>
              <w:jc w:val="center"/>
            </w:pPr>
            <w:r>
              <w:rPr>
                <w:sz w:val="20"/>
              </w:rPr>
              <w:t xml:space="preserve">16,5</w:t>
            </w:r>
          </w:p>
        </w:tc>
        <w:tc>
          <w:tcPr>
            <w:tcW w:w="1077" w:type="dxa"/>
          </w:tcPr>
          <w:p>
            <w:pPr>
              <w:pStyle w:val="0"/>
              <w:jc w:val="center"/>
            </w:pPr>
            <w:r>
              <w:rPr>
                <w:sz w:val="20"/>
              </w:rPr>
              <w:t xml:space="preserve">17</w:t>
            </w:r>
          </w:p>
        </w:tc>
        <w:tc>
          <w:tcPr>
            <w:tcW w:w="1077" w:type="dxa"/>
          </w:tcPr>
          <w:p>
            <w:pPr>
              <w:pStyle w:val="0"/>
              <w:jc w:val="center"/>
            </w:pPr>
            <w:r>
              <w:rPr>
                <w:sz w:val="20"/>
              </w:rPr>
              <w:t xml:space="preserve">17,5</w:t>
            </w:r>
          </w:p>
        </w:tc>
      </w:tr>
      <w:tr>
        <w:tc>
          <w:tcPr>
            <w:tcW w:w="624" w:type="dxa"/>
          </w:tcPr>
          <w:p>
            <w:pPr>
              <w:pStyle w:val="0"/>
              <w:jc w:val="center"/>
            </w:pPr>
            <w:r>
              <w:rPr>
                <w:sz w:val="20"/>
              </w:rPr>
              <w:t xml:space="preserve">40.</w:t>
            </w:r>
          </w:p>
        </w:tc>
        <w:tc>
          <w:tcPr>
            <w:tcW w:w="2608" w:type="dxa"/>
          </w:tcPr>
          <w:p>
            <w:pPr>
              <w:pStyle w:val="0"/>
            </w:pPr>
            <w:r>
              <w:rPr>
                <w:sz w:val="20"/>
              </w:rPr>
              <w:t xml:space="preserve">Разработка (корректировка) документов территориального планирования, правил землепользования и застройки, документации по планировке территорий, нормативов градостроительного проектирования</w:t>
            </w:r>
          </w:p>
        </w:tc>
        <w:tc>
          <w:tcPr>
            <w:tcW w:w="1644"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1247" w:type="dxa"/>
          </w:tcPr>
          <w:p>
            <w:pPr>
              <w:pStyle w:val="0"/>
            </w:pPr>
            <w:r>
              <w:rPr>
                <w:sz w:val="20"/>
              </w:rPr>
              <w:t xml:space="preserve">Департамент архитектуры и строительства Владимирской области</w:t>
            </w:r>
          </w:p>
        </w:tc>
        <w:tc>
          <w:tcPr>
            <w:tcW w:w="3515" w:type="dxa"/>
          </w:tcPr>
          <w:p>
            <w:pPr>
              <w:pStyle w:val="0"/>
            </w:pPr>
            <w:r>
              <w:rPr>
                <w:sz w:val="20"/>
              </w:rPr>
              <w:t xml:space="preserve">Количество градостроительной документации, приведенной (разработанной) в соответствие с требованиями Градостроительного </w:t>
            </w:r>
            <w:hyperlink w:history="0" r:id="rId89" w:tooltip="&quot;Градостроительный кодекс Российской Федерации&quot; от 29.12.2004 N 190-ФЗ (ред. от 19.12.2022) ------------ Недействующая редакция {КонсультантПлюс}">
              <w:r>
                <w:rPr>
                  <w:sz w:val="20"/>
                  <w:color w:val="0000ff"/>
                </w:rPr>
                <w:t xml:space="preserve">кодекса</w:t>
              </w:r>
            </w:hyperlink>
            <w:r>
              <w:rPr>
                <w:sz w:val="20"/>
              </w:rPr>
              <w:t xml:space="preserve"> Российской Федерации</w:t>
            </w:r>
          </w:p>
        </w:tc>
        <w:tc>
          <w:tcPr>
            <w:tcW w:w="737" w:type="dxa"/>
          </w:tcPr>
          <w:p>
            <w:pPr>
              <w:pStyle w:val="0"/>
            </w:pPr>
            <w:r>
              <w:rPr>
                <w:sz w:val="20"/>
              </w:rPr>
              <w:t xml:space="preserve">шт.</w:t>
            </w:r>
          </w:p>
        </w:tc>
        <w:tc>
          <w:tcPr>
            <w:tcW w:w="1077" w:type="dxa"/>
          </w:tcPr>
          <w:p>
            <w:pPr>
              <w:pStyle w:val="0"/>
              <w:jc w:val="center"/>
            </w:pPr>
            <w:r>
              <w:rPr>
                <w:sz w:val="20"/>
              </w:rPr>
              <w:t xml:space="preserve">36</w:t>
            </w:r>
          </w:p>
        </w:tc>
        <w:tc>
          <w:tcPr>
            <w:tcW w:w="1077" w:type="dxa"/>
          </w:tcPr>
          <w:p>
            <w:pPr>
              <w:pStyle w:val="0"/>
              <w:jc w:val="center"/>
            </w:pPr>
            <w:r>
              <w:rPr>
                <w:sz w:val="20"/>
              </w:rPr>
              <w:t xml:space="preserve">10</w:t>
            </w:r>
          </w:p>
        </w:tc>
        <w:tc>
          <w:tcPr>
            <w:tcW w:w="1077" w:type="dxa"/>
          </w:tcPr>
          <w:p>
            <w:pPr>
              <w:pStyle w:val="0"/>
              <w:jc w:val="center"/>
            </w:pPr>
            <w:r>
              <w:rPr>
                <w:sz w:val="20"/>
              </w:rPr>
              <w:t xml:space="preserve">10</w:t>
            </w:r>
          </w:p>
        </w:tc>
      </w:tr>
      <w:tr>
        <w:tc>
          <w:tcPr>
            <w:tcW w:w="624" w:type="dxa"/>
            <w:vMerge w:val="restart"/>
          </w:tcPr>
          <w:p>
            <w:pPr>
              <w:pStyle w:val="0"/>
              <w:jc w:val="center"/>
            </w:pPr>
            <w:r>
              <w:rPr>
                <w:sz w:val="20"/>
              </w:rPr>
              <w:t xml:space="preserve">41.</w:t>
            </w:r>
          </w:p>
        </w:tc>
        <w:tc>
          <w:tcPr>
            <w:tcW w:w="2608" w:type="dxa"/>
            <w:vMerge w:val="restart"/>
          </w:tcPr>
          <w:p>
            <w:pPr>
              <w:pStyle w:val="0"/>
            </w:pPr>
            <w:r>
              <w:rPr>
                <w:sz w:val="20"/>
              </w:rPr>
              <w:t xml:space="preserve">Оказание поддержки по комплексному освоению и развитию территорий области в целях жилищного строительства</w:t>
            </w:r>
          </w:p>
        </w:tc>
        <w:tc>
          <w:tcPr>
            <w:tcW w:w="1644" w:type="dxa"/>
            <w:vMerge w:val="restart"/>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1247" w:type="dxa"/>
            <w:vMerge w:val="restart"/>
          </w:tcPr>
          <w:p>
            <w:pPr>
              <w:pStyle w:val="0"/>
            </w:pPr>
            <w:r>
              <w:rPr>
                <w:sz w:val="20"/>
              </w:rPr>
              <w:t xml:space="preserve">Департамент архитектуры и строительства Владимирской области</w:t>
            </w:r>
          </w:p>
        </w:tc>
        <w:tc>
          <w:tcPr>
            <w:tcW w:w="3515" w:type="dxa"/>
          </w:tcPr>
          <w:p>
            <w:pPr>
              <w:pStyle w:val="0"/>
            </w:pPr>
            <w:r>
              <w:rPr>
                <w:sz w:val="20"/>
              </w:rPr>
              <w:t xml:space="preserve">Объем жилищного строительства</w:t>
            </w:r>
          </w:p>
        </w:tc>
        <w:tc>
          <w:tcPr>
            <w:tcW w:w="737" w:type="dxa"/>
          </w:tcPr>
          <w:p>
            <w:pPr>
              <w:pStyle w:val="0"/>
            </w:pPr>
            <w:r>
              <w:rPr>
                <w:sz w:val="20"/>
              </w:rPr>
              <w:t xml:space="preserve">млн. м</w:t>
            </w:r>
            <w:r>
              <w:rPr>
                <w:sz w:val="20"/>
                <w:vertAlign w:val="superscript"/>
              </w:rPr>
              <w:t xml:space="preserve">2</w:t>
            </w:r>
          </w:p>
        </w:tc>
        <w:tc>
          <w:tcPr>
            <w:tcW w:w="1077" w:type="dxa"/>
          </w:tcPr>
          <w:p>
            <w:pPr>
              <w:pStyle w:val="0"/>
              <w:jc w:val="center"/>
            </w:pPr>
            <w:r>
              <w:rPr>
                <w:sz w:val="20"/>
              </w:rPr>
              <w:t xml:space="preserve">0,791</w:t>
            </w:r>
          </w:p>
        </w:tc>
        <w:tc>
          <w:tcPr>
            <w:tcW w:w="1077" w:type="dxa"/>
          </w:tcPr>
          <w:p>
            <w:pPr>
              <w:pStyle w:val="0"/>
              <w:jc w:val="center"/>
            </w:pPr>
            <w:r>
              <w:rPr>
                <w:sz w:val="20"/>
              </w:rPr>
              <w:t xml:space="preserve">0,85</w:t>
            </w:r>
          </w:p>
        </w:tc>
        <w:tc>
          <w:tcPr>
            <w:tcW w:w="1077" w:type="dxa"/>
          </w:tcPr>
          <w:p>
            <w:pPr>
              <w:pStyle w:val="0"/>
              <w:jc w:val="center"/>
            </w:pPr>
            <w:r>
              <w:rPr>
                <w:sz w:val="20"/>
              </w:rPr>
              <w:t xml:space="preserve">0,883</w:t>
            </w:r>
          </w:p>
        </w:tc>
      </w:tr>
      <w:tr>
        <w:tc>
          <w:tcPr>
            <w:vMerge w:val="continue"/>
          </w:tcPr>
          <w:p/>
        </w:tc>
        <w:tc>
          <w:tcPr>
            <w:vMerge w:val="continue"/>
          </w:tcPr>
          <w:p/>
        </w:tc>
        <w:tc>
          <w:tcPr>
            <w:vMerge w:val="continue"/>
          </w:tcPr>
          <w:p/>
        </w:tc>
        <w:tc>
          <w:tcPr>
            <w:vMerge w:val="continue"/>
          </w:tcPr>
          <w:p/>
        </w:tc>
        <w:tc>
          <w:tcPr>
            <w:tcW w:w="3515" w:type="dxa"/>
          </w:tcPr>
          <w:p>
            <w:pPr>
              <w:pStyle w:val="0"/>
            </w:pPr>
            <w:r>
              <w:rPr>
                <w:sz w:val="20"/>
              </w:rPr>
              <w:t xml:space="preserve">Ввод жилья в рамках мероприятия по стимулированию программ развития жилищного строительства субъектов Российской Федерации</w:t>
            </w:r>
          </w:p>
        </w:tc>
        <w:tc>
          <w:tcPr>
            <w:tcW w:w="737" w:type="dxa"/>
          </w:tcPr>
          <w:p>
            <w:pPr>
              <w:pStyle w:val="0"/>
            </w:pPr>
            <w:r>
              <w:rPr>
                <w:sz w:val="20"/>
              </w:rPr>
              <w:t xml:space="preserve">млн. м</w:t>
            </w:r>
            <w:r>
              <w:rPr>
                <w:sz w:val="20"/>
                <w:vertAlign w:val="superscript"/>
              </w:rPr>
              <w:t xml:space="preserve">2</w:t>
            </w:r>
          </w:p>
        </w:tc>
        <w:tc>
          <w:tcPr>
            <w:tcW w:w="1077" w:type="dxa"/>
          </w:tcPr>
          <w:p>
            <w:pPr>
              <w:pStyle w:val="0"/>
              <w:jc w:val="center"/>
            </w:pPr>
            <w:r>
              <w:rPr>
                <w:sz w:val="20"/>
              </w:rPr>
              <w:t xml:space="preserve">0</w:t>
            </w:r>
          </w:p>
        </w:tc>
        <w:tc>
          <w:tcPr>
            <w:tcW w:w="1077" w:type="dxa"/>
          </w:tcPr>
          <w:p>
            <w:pPr>
              <w:pStyle w:val="0"/>
              <w:jc w:val="center"/>
            </w:pPr>
            <w:r>
              <w:rPr>
                <w:sz w:val="20"/>
              </w:rPr>
              <w:t xml:space="preserve">0,0132</w:t>
            </w:r>
          </w:p>
        </w:tc>
        <w:tc>
          <w:tcPr>
            <w:tcW w:w="1077" w:type="dxa"/>
          </w:tcPr>
          <w:p>
            <w:pPr>
              <w:pStyle w:val="0"/>
              <w:jc w:val="center"/>
            </w:pPr>
            <w:r>
              <w:rPr>
                <w:sz w:val="20"/>
              </w:rPr>
              <w:t xml:space="preserve">0,0145</w:t>
            </w:r>
          </w:p>
        </w:tc>
      </w:tr>
      <w:tr>
        <w:tc>
          <w:tcPr>
            <w:tcW w:w="624" w:type="dxa"/>
          </w:tcPr>
          <w:p>
            <w:pPr>
              <w:pStyle w:val="0"/>
              <w:jc w:val="center"/>
            </w:pPr>
            <w:r>
              <w:rPr>
                <w:sz w:val="20"/>
              </w:rPr>
              <w:t xml:space="preserve">42.</w:t>
            </w:r>
          </w:p>
        </w:tc>
        <w:tc>
          <w:tcPr>
            <w:tcW w:w="2608" w:type="dxa"/>
          </w:tcPr>
          <w:p>
            <w:pPr>
              <w:pStyle w:val="0"/>
            </w:pPr>
            <w:r>
              <w:rPr>
                <w:sz w:val="20"/>
              </w:rPr>
              <w:t xml:space="preserve">Обеспечение инженерной и транспортной инфраструктурой земельных участков, предоставленных (предоставляемых) бесплатно для индивидуального жилищного строительства семьям, имеющим троих и более детей в возрасте до 18 лет</w:t>
            </w:r>
          </w:p>
        </w:tc>
        <w:tc>
          <w:tcPr>
            <w:tcW w:w="1644"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1247" w:type="dxa"/>
          </w:tcPr>
          <w:p>
            <w:pPr>
              <w:pStyle w:val="0"/>
            </w:pPr>
            <w:r>
              <w:rPr>
                <w:sz w:val="20"/>
              </w:rPr>
              <w:t xml:space="preserve">Департамент архитектуры и строительства Владимирской области</w:t>
            </w:r>
          </w:p>
        </w:tc>
        <w:tc>
          <w:tcPr>
            <w:tcW w:w="3515" w:type="dxa"/>
          </w:tcPr>
          <w:p>
            <w:pPr>
              <w:pStyle w:val="0"/>
            </w:pPr>
            <w:r>
              <w:rPr>
                <w:sz w:val="20"/>
              </w:rPr>
              <w:t xml:space="preserve">Количество земельных участков, предоставленных (предоставляемых) многодетным семьям, обеспеченных инженерной и транспортной инфраструктурой</w:t>
            </w:r>
          </w:p>
        </w:tc>
        <w:tc>
          <w:tcPr>
            <w:tcW w:w="737" w:type="dxa"/>
          </w:tcPr>
          <w:p>
            <w:pPr>
              <w:pStyle w:val="0"/>
            </w:pPr>
            <w:r>
              <w:rPr>
                <w:sz w:val="20"/>
              </w:rPr>
              <w:t xml:space="preserve">ед.</w:t>
            </w:r>
          </w:p>
        </w:tc>
        <w:tc>
          <w:tcPr>
            <w:tcW w:w="1077" w:type="dxa"/>
          </w:tcPr>
          <w:p>
            <w:pPr>
              <w:pStyle w:val="0"/>
              <w:jc w:val="center"/>
            </w:pPr>
            <w:r>
              <w:rPr>
                <w:sz w:val="20"/>
              </w:rPr>
              <w:t xml:space="preserve">200</w:t>
            </w:r>
          </w:p>
        </w:tc>
        <w:tc>
          <w:tcPr>
            <w:tcW w:w="1077" w:type="dxa"/>
          </w:tcPr>
          <w:p>
            <w:pPr>
              <w:pStyle w:val="0"/>
              <w:jc w:val="center"/>
            </w:pPr>
            <w:r>
              <w:rPr>
                <w:sz w:val="20"/>
              </w:rPr>
              <w:t xml:space="preserve">200</w:t>
            </w:r>
          </w:p>
        </w:tc>
        <w:tc>
          <w:tcPr>
            <w:tcW w:w="1077" w:type="dxa"/>
          </w:tcPr>
          <w:p>
            <w:pPr>
              <w:pStyle w:val="0"/>
              <w:jc w:val="center"/>
            </w:pPr>
            <w:r>
              <w:rPr>
                <w:sz w:val="20"/>
              </w:rPr>
              <w:t xml:space="preserve">200</w:t>
            </w:r>
          </w:p>
        </w:tc>
      </w:tr>
      <w:tr>
        <w:tc>
          <w:tcPr>
            <w:tcW w:w="624" w:type="dxa"/>
            <w:vMerge w:val="restart"/>
          </w:tcPr>
          <w:p>
            <w:pPr>
              <w:pStyle w:val="0"/>
              <w:jc w:val="center"/>
            </w:pPr>
            <w:r>
              <w:rPr>
                <w:sz w:val="20"/>
              </w:rPr>
              <w:t xml:space="preserve">43.</w:t>
            </w:r>
          </w:p>
        </w:tc>
        <w:tc>
          <w:tcPr>
            <w:tcW w:w="2608" w:type="dxa"/>
            <w:vMerge w:val="restart"/>
          </w:tcPr>
          <w:p>
            <w:pPr>
              <w:pStyle w:val="0"/>
            </w:pPr>
            <w:r>
              <w:rPr>
                <w:sz w:val="20"/>
              </w:rPr>
              <w:t xml:space="preserve">Улучшение жилищных условий граждан, признанных нуждающимися в жилых помещениях, предоставляемых по договорам социального найма, и работников бюджетной сферы с предоставлением служебных жилых помещений по договорам найма специализированного жилищного фонда, найма социального использования</w:t>
            </w:r>
          </w:p>
        </w:tc>
        <w:tc>
          <w:tcPr>
            <w:tcW w:w="1644" w:type="dxa"/>
            <w:vMerge w:val="restart"/>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1247" w:type="dxa"/>
            <w:vMerge w:val="restart"/>
          </w:tcPr>
          <w:p>
            <w:pPr>
              <w:pStyle w:val="0"/>
            </w:pPr>
            <w:r>
              <w:rPr>
                <w:sz w:val="20"/>
              </w:rPr>
              <w:t xml:space="preserve">Департамент архитектуры и строительства Владимирской области</w:t>
            </w:r>
          </w:p>
        </w:tc>
        <w:tc>
          <w:tcPr>
            <w:tcW w:w="3515" w:type="dxa"/>
          </w:tcPr>
          <w:p>
            <w:pPr>
              <w:pStyle w:val="0"/>
            </w:pPr>
            <w:r>
              <w:rPr>
                <w:sz w:val="20"/>
              </w:rPr>
              <w:t xml:space="preserve">Общая площадь построенных и приобретенных жилых помещений</w:t>
            </w:r>
          </w:p>
        </w:tc>
        <w:tc>
          <w:tcPr>
            <w:tcW w:w="737" w:type="dxa"/>
          </w:tcPr>
          <w:p>
            <w:pPr>
              <w:pStyle w:val="0"/>
            </w:pPr>
            <w:r>
              <w:rPr>
                <w:sz w:val="20"/>
              </w:rPr>
              <w:t xml:space="preserve">тыс. м</w:t>
            </w:r>
            <w:r>
              <w:rPr>
                <w:sz w:val="20"/>
                <w:vertAlign w:val="superscript"/>
              </w:rPr>
              <w:t xml:space="preserve">2</w:t>
            </w:r>
          </w:p>
        </w:tc>
        <w:tc>
          <w:tcPr>
            <w:tcW w:w="1077" w:type="dxa"/>
          </w:tcPr>
          <w:p>
            <w:pPr>
              <w:pStyle w:val="0"/>
              <w:jc w:val="center"/>
            </w:pPr>
            <w:r>
              <w:rPr>
                <w:sz w:val="20"/>
              </w:rPr>
              <w:t xml:space="preserve">9,0</w:t>
            </w:r>
          </w:p>
        </w:tc>
        <w:tc>
          <w:tcPr>
            <w:tcW w:w="1077" w:type="dxa"/>
          </w:tcPr>
          <w:p>
            <w:pPr>
              <w:pStyle w:val="0"/>
              <w:jc w:val="center"/>
            </w:pPr>
            <w:r>
              <w:rPr>
                <w:sz w:val="20"/>
              </w:rPr>
              <w:t xml:space="preserve">9,1</w:t>
            </w:r>
          </w:p>
        </w:tc>
        <w:tc>
          <w:tcPr>
            <w:tcW w:w="1077" w:type="dxa"/>
          </w:tcPr>
          <w:p>
            <w:pPr>
              <w:pStyle w:val="0"/>
              <w:jc w:val="center"/>
            </w:pPr>
            <w:r>
              <w:rPr>
                <w:sz w:val="20"/>
              </w:rPr>
              <w:t xml:space="preserve">9,3</w:t>
            </w:r>
          </w:p>
        </w:tc>
      </w:tr>
      <w:tr>
        <w:tc>
          <w:tcPr>
            <w:vMerge w:val="continue"/>
          </w:tcPr>
          <w:p/>
        </w:tc>
        <w:tc>
          <w:tcPr>
            <w:vMerge w:val="continue"/>
          </w:tcPr>
          <w:p/>
        </w:tc>
        <w:tc>
          <w:tcPr>
            <w:vMerge w:val="continue"/>
          </w:tcPr>
          <w:p/>
        </w:tc>
        <w:tc>
          <w:tcPr>
            <w:vMerge w:val="continue"/>
          </w:tcPr>
          <w:p/>
        </w:tc>
        <w:tc>
          <w:tcPr>
            <w:tcW w:w="3515" w:type="dxa"/>
          </w:tcPr>
          <w:p>
            <w:pPr>
              <w:pStyle w:val="0"/>
            </w:pPr>
            <w:r>
              <w:rPr>
                <w:sz w:val="20"/>
              </w:rPr>
              <w:t xml:space="preserve">Количество семей, улучшивших жилищные условия</w:t>
            </w:r>
          </w:p>
        </w:tc>
        <w:tc>
          <w:tcPr>
            <w:tcW w:w="737" w:type="dxa"/>
          </w:tcPr>
          <w:p>
            <w:pPr>
              <w:pStyle w:val="0"/>
            </w:pPr>
            <w:r>
              <w:rPr>
                <w:sz w:val="20"/>
              </w:rPr>
              <w:t xml:space="preserve">семей</w:t>
            </w:r>
          </w:p>
        </w:tc>
        <w:tc>
          <w:tcPr>
            <w:tcW w:w="1077" w:type="dxa"/>
          </w:tcPr>
          <w:p>
            <w:pPr>
              <w:pStyle w:val="0"/>
              <w:jc w:val="center"/>
            </w:pPr>
            <w:r>
              <w:rPr>
                <w:sz w:val="20"/>
              </w:rPr>
              <w:t xml:space="preserve">175</w:t>
            </w:r>
          </w:p>
        </w:tc>
        <w:tc>
          <w:tcPr>
            <w:tcW w:w="1077" w:type="dxa"/>
          </w:tcPr>
          <w:p>
            <w:pPr>
              <w:pStyle w:val="0"/>
              <w:jc w:val="center"/>
            </w:pPr>
            <w:r>
              <w:rPr>
                <w:sz w:val="20"/>
              </w:rPr>
              <w:t xml:space="preserve">179</w:t>
            </w:r>
          </w:p>
        </w:tc>
        <w:tc>
          <w:tcPr>
            <w:tcW w:w="1077" w:type="dxa"/>
          </w:tcPr>
          <w:p>
            <w:pPr>
              <w:pStyle w:val="0"/>
              <w:jc w:val="center"/>
            </w:pPr>
            <w:r>
              <w:rPr>
                <w:sz w:val="20"/>
              </w:rPr>
              <w:t xml:space="preserve">183</w:t>
            </w:r>
          </w:p>
        </w:tc>
      </w:tr>
      <w:tr>
        <w:tc>
          <w:tcPr>
            <w:tcW w:w="624" w:type="dxa"/>
          </w:tcPr>
          <w:p>
            <w:pPr>
              <w:pStyle w:val="0"/>
              <w:jc w:val="center"/>
            </w:pPr>
            <w:r>
              <w:rPr>
                <w:sz w:val="20"/>
              </w:rPr>
              <w:t xml:space="preserve">44.</w:t>
            </w:r>
          </w:p>
        </w:tc>
        <w:tc>
          <w:tcPr>
            <w:tcW w:w="2608" w:type="dxa"/>
          </w:tcPr>
          <w:p>
            <w:pPr>
              <w:pStyle w:val="0"/>
            </w:pPr>
            <w:r>
              <w:rPr>
                <w:sz w:val="20"/>
              </w:rPr>
              <w:t xml:space="preserve">Оказание мер социальной поддержки по улучшению жилищных условий молодых семей</w:t>
            </w:r>
          </w:p>
        </w:tc>
        <w:tc>
          <w:tcPr>
            <w:tcW w:w="1644"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1247" w:type="dxa"/>
          </w:tcPr>
          <w:p>
            <w:pPr>
              <w:pStyle w:val="0"/>
            </w:pPr>
            <w:r>
              <w:rPr>
                <w:sz w:val="20"/>
              </w:rPr>
              <w:t xml:space="preserve">Департамент архитектуры и строительства Владимирской области</w:t>
            </w:r>
          </w:p>
        </w:tc>
        <w:tc>
          <w:tcPr>
            <w:tcW w:w="3515" w:type="dxa"/>
          </w:tcPr>
          <w:p>
            <w:pPr>
              <w:pStyle w:val="0"/>
            </w:pPr>
            <w:r>
              <w:rPr>
                <w:sz w:val="20"/>
              </w:rPr>
              <w:t xml:space="preserve">Количество молодых семей, получивших свидетельство о праве на получение социальной выплаты на приобретение (строительство) жилого помещения</w:t>
            </w:r>
          </w:p>
        </w:tc>
        <w:tc>
          <w:tcPr>
            <w:tcW w:w="737" w:type="dxa"/>
          </w:tcPr>
          <w:p>
            <w:pPr>
              <w:pStyle w:val="0"/>
            </w:pPr>
            <w:r>
              <w:rPr>
                <w:sz w:val="20"/>
              </w:rPr>
              <w:t xml:space="preserve">семей</w:t>
            </w:r>
          </w:p>
        </w:tc>
        <w:tc>
          <w:tcPr>
            <w:tcW w:w="1077" w:type="dxa"/>
          </w:tcPr>
          <w:p>
            <w:pPr>
              <w:pStyle w:val="0"/>
              <w:jc w:val="center"/>
            </w:pPr>
            <w:r>
              <w:rPr>
                <w:sz w:val="20"/>
              </w:rPr>
              <w:t xml:space="preserve">205</w:t>
            </w:r>
          </w:p>
        </w:tc>
        <w:tc>
          <w:tcPr>
            <w:tcW w:w="1077" w:type="dxa"/>
          </w:tcPr>
          <w:p>
            <w:pPr>
              <w:pStyle w:val="0"/>
              <w:jc w:val="center"/>
            </w:pPr>
            <w:r>
              <w:rPr>
                <w:sz w:val="20"/>
              </w:rPr>
              <w:t xml:space="preserve">222</w:t>
            </w:r>
          </w:p>
        </w:tc>
        <w:tc>
          <w:tcPr>
            <w:tcW w:w="1077" w:type="dxa"/>
          </w:tcPr>
          <w:p>
            <w:pPr>
              <w:pStyle w:val="0"/>
              <w:jc w:val="center"/>
            </w:pPr>
            <w:r>
              <w:rPr>
                <w:sz w:val="20"/>
              </w:rPr>
              <w:t xml:space="preserve">260</w:t>
            </w:r>
          </w:p>
        </w:tc>
      </w:tr>
      <w:tr>
        <w:tc>
          <w:tcPr>
            <w:tcW w:w="624" w:type="dxa"/>
          </w:tcPr>
          <w:p>
            <w:pPr>
              <w:pStyle w:val="0"/>
              <w:jc w:val="center"/>
            </w:pPr>
            <w:r>
              <w:rPr>
                <w:sz w:val="20"/>
              </w:rPr>
              <w:t xml:space="preserve">45.</w:t>
            </w:r>
          </w:p>
        </w:tc>
        <w:tc>
          <w:tcPr>
            <w:tcW w:w="2608" w:type="dxa"/>
          </w:tcPr>
          <w:p>
            <w:pPr>
              <w:pStyle w:val="0"/>
            </w:pPr>
            <w:r>
              <w:rPr>
                <w:sz w:val="20"/>
              </w:rPr>
              <w:t xml:space="preserve">Обеспечение жильем ветеранов, инвалидов и семей, имеющих детей-инвалидов</w:t>
            </w:r>
          </w:p>
        </w:tc>
        <w:tc>
          <w:tcPr>
            <w:tcW w:w="1644"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1247" w:type="dxa"/>
          </w:tcPr>
          <w:p>
            <w:pPr>
              <w:pStyle w:val="0"/>
            </w:pPr>
            <w:r>
              <w:rPr>
                <w:sz w:val="20"/>
              </w:rPr>
              <w:t xml:space="preserve">Департамент архитектуры и строительства Владимирской области</w:t>
            </w:r>
          </w:p>
        </w:tc>
        <w:tc>
          <w:tcPr>
            <w:tcW w:w="3515" w:type="dxa"/>
          </w:tcPr>
          <w:p>
            <w:pPr>
              <w:pStyle w:val="0"/>
            </w:pPr>
            <w:r>
              <w:rPr>
                <w:sz w:val="20"/>
              </w:rPr>
              <w:t xml:space="preserve">Количество граждан, получивших единовременные денежные выплаты и жилищные субсидии за счет федерального бюджета</w:t>
            </w:r>
          </w:p>
        </w:tc>
        <w:tc>
          <w:tcPr>
            <w:tcW w:w="737" w:type="dxa"/>
          </w:tcPr>
          <w:p>
            <w:pPr>
              <w:pStyle w:val="0"/>
            </w:pPr>
            <w:r>
              <w:rPr>
                <w:sz w:val="20"/>
              </w:rPr>
              <w:t xml:space="preserve">граждан</w:t>
            </w:r>
          </w:p>
        </w:tc>
        <w:tc>
          <w:tcPr>
            <w:tcW w:w="1077" w:type="dxa"/>
          </w:tcPr>
          <w:p>
            <w:pPr>
              <w:pStyle w:val="0"/>
              <w:jc w:val="center"/>
            </w:pPr>
            <w:r>
              <w:rPr>
                <w:sz w:val="20"/>
              </w:rPr>
              <w:t xml:space="preserve">13</w:t>
            </w:r>
          </w:p>
        </w:tc>
        <w:tc>
          <w:tcPr>
            <w:tcW w:w="1077" w:type="dxa"/>
          </w:tcPr>
          <w:p>
            <w:pPr>
              <w:pStyle w:val="0"/>
              <w:jc w:val="center"/>
            </w:pPr>
            <w:r>
              <w:rPr>
                <w:sz w:val="20"/>
              </w:rPr>
              <w:t xml:space="preserve">22</w:t>
            </w:r>
          </w:p>
        </w:tc>
        <w:tc>
          <w:tcPr>
            <w:tcW w:w="1077" w:type="dxa"/>
          </w:tcPr>
          <w:p>
            <w:pPr>
              <w:pStyle w:val="0"/>
              <w:jc w:val="center"/>
            </w:pPr>
            <w:r>
              <w:rPr>
                <w:sz w:val="20"/>
              </w:rPr>
              <w:t xml:space="preserve">24</w:t>
            </w:r>
          </w:p>
        </w:tc>
      </w:tr>
      <w:tr>
        <w:tc>
          <w:tcPr>
            <w:tcW w:w="624" w:type="dxa"/>
          </w:tcPr>
          <w:p>
            <w:pPr>
              <w:pStyle w:val="0"/>
              <w:jc w:val="center"/>
            </w:pPr>
            <w:r>
              <w:rPr>
                <w:sz w:val="20"/>
              </w:rPr>
              <w:t xml:space="preserve">46.</w:t>
            </w:r>
          </w:p>
        </w:tc>
        <w:tc>
          <w:tcPr>
            <w:tcW w:w="2608" w:type="dxa"/>
          </w:tcPr>
          <w:p>
            <w:pPr>
              <w:pStyle w:val="0"/>
            </w:pPr>
            <w:r>
              <w:rPr>
                <w:sz w:val="20"/>
              </w:rPr>
              <w:t xml:space="preserve">Оказание поддержки нуждающимся в улучшении жилищных условий государственным гражданским служащим Владимирской области, работникам государственных учреждений, финансируемых из областного бюджета, муниципальным служащим и работникам учреждений бюджетной сферы, финансируемых из местных бюджетов</w:t>
            </w:r>
          </w:p>
        </w:tc>
        <w:tc>
          <w:tcPr>
            <w:tcW w:w="1644"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1247" w:type="dxa"/>
          </w:tcPr>
          <w:p>
            <w:pPr>
              <w:pStyle w:val="0"/>
            </w:pPr>
            <w:r>
              <w:rPr>
                <w:sz w:val="20"/>
              </w:rPr>
              <w:t xml:space="preserve">Департамент архитектуры и строительства Владимирской области</w:t>
            </w:r>
          </w:p>
        </w:tc>
        <w:tc>
          <w:tcPr>
            <w:tcW w:w="3515" w:type="dxa"/>
          </w:tcPr>
          <w:p>
            <w:pPr>
              <w:pStyle w:val="0"/>
            </w:pPr>
            <w:r>
              <w:rPr>
                <w:sz w:val="20"/>
              </w:rPr>
              <w:t xml:space="preserve">Количество граждан, получивших свидетельства о праве на получение жилищной субсидии за счет областного бюджета</w:t>
            </w:r>
          </w:p>
        </w:tc>
        <w:tc>
          <w:tcPr>
            <w:tcW w:w="737" w:type="dxa"/>
          </w:tcPr>
          <w:p>
            <w:pPr>
              <w:pStyle w:val="0"/>
            </w:pPr>
            <w:r>
              <w:rPr>
                <w:sz w:val="20"/>
              </w:rPr>
              <w:t xml:space="preserve">граждан</w:t>
            </w:r>
          </w:p>
        </w:tc>
        <w:tc>
          <w:tcPr>
            <w:tcW w:w="1077" w:type="dxa"/>
          </w:tcPr>
          <w:p>
            <w:pPr>
              <w:pStyle w:val="0"/>
              <w:jc w:val="center"/>
            </w:pPr>
            <w:r>
              <w:rPr>
                <w:sz w:val="20"/>
              </w:rPr>
              <w:t xml:space="preserve">32</w:t>
            </w:r>
          </w:p>
        </w:tc>
        <w:tc>
          <w:tcPr>
            <w:tcW w:w="1077" w:type="dxa"/>
          </w:tcPr>
          <w:p>
            <w:pPr>
              <w:pStyle w:val="0"/>
              <w:jc w:val="center"/>
            </w:pPr>
            <w:r>
              <w:rPr>
                <w:sz w:val="20"/>
              </w:rPr>
              <w:t xml:space="preserve">33</w:t>
            </w:r>
          </w:p>
        </w:tc>
        <w:tc>
          <w:tcPr>
            <w:tcW w:w="1077" w:type="dxa"/>
          </w:tcPr>
          <w:p>
            <w:pPr>
              <w:pStyle w:val="0"/>
              <w:jc w:val="center"/>
            </w:pPr>
            <w:r>
              <w:rPr>
                <w:sz w:val="20"/>
              </w:rPr>
              <w:t xml:space="preserve">35</w:t>
            </w:r>
          </w:p>
        </w:tc>
      </w:tr>
      <w:tr>
        <w:tc>
          <w:tcPr>
            <w:tcW w:w="624" w:type="dxa"/>
          </w:tcPr>
          <w:p>
            <w:pPr>
              <w:pStyle w:val="0"/>
              <w:jc w:val="center"/>
            </w:pPr>
            <w:r>
              <w:rPr>
                <w:sz w:val="20"/>
              </w:rPr>
              <w:t xml:space="preserve">47.</w:t>
            </w:r>
          </w:p>
        </w:tc>
        <w:tc>
          <w:tcPr>
            <w:tcW w:w="2608" w:type="dxa"/>
          </w:tcPr>
          <w:p>
            <w:pPr>
              <w:pStyle w:val="0"/>
            </w:pPr>
            <w:r>
              <w:rPr>
                <w:sz w:val="20"/>
              </w:rPr>
              <w:t xml:space="preserve">Обеспечение мер социальной поддержки многодетных семей</w:t>
            </w:r>
          </w:p>
        </w:tc>
        <w:tc>
          <w:tcPr>
            <w:tcW w:w="1644" w:type="dxa"/>
          </w:tcPr>
          <w:p>
            <w:pPr>
              <w:pStyle w:val="0"/>
            </w:pPr>
            <w:r>
              <w:rPr>
                <w:sz w:val="20"/>
              </w:rPr>
              <w:t xml:space="preserve">Государственная программа Владимирской области "Обеспечение доступным и комфортным жильем населения Владимирской области"</w:t>
            </w:r>
          </w:p>
        </w:tc>
        <w:tc>
          <w:tcPr>
            <w:tcW w:w="1247" w:type="dxa"/>
          </w:tcPr>
          <w:p>
            <w:pPr>
              <w:pStyle w:val="0"/>
            </w:pPr>
            <w:r>
              <w:rPr>
                <w:sz w:val="20"/>
              </w:rPr>
              <w:t xml:space="preserve">Департамент архитектуры и строительства Владимирской области</w:t>
            </w:r>
          </w:p>
        </w:tc>
        <w:tc>
          <w:tcPr>
            <w:tcW w:w="3515" w:type="dxa"/>
          </w:tcPr>
          <w:p>
            <w:pPr>
              <w:pStyle w:val="0"/>
            </w:pPr>
            <w:r>
              <w:rPr>
                <w:sz w:val="20"/>
              </w:rPr>
              <w:t xml:space="preserve">Количество многодетных семей, получивших свидетельство о праве на получение социальной выплаты на строительство индивидуального жилого дома</w:t>
            </w:r>
          </w:p>
        </w:tc>
        <w:tc>
          <w:tcPr>
            <w:tcW w:w="737" w:type="dxa"/>
          </w:tcPr>
          <w:p>
            <w:pPr>
              <w:pStyle w:val="0"/>
            </w:pPr>
            <w:r>
              <w:rPr>
                <w:sz w:val="20"/>
              </w:rPr>
              <w:t xml:space="preserve">семей</w:t>
            </w:r>
          </w:p>
        </w:tc>
        <w:tc>
          <w:tcPr>
            <w:tcW w:w="1077" w:type="dxa"/>
          </w:tcPr>
          <w:p>
            <w:pPr>
              <w:pStyle w:val="0"/>
              <w:jc w:val="center"/>
            </w:pPr>
            <w:r>
              <w:rPr>
                <w:sz w:val="20"/>
              </w:rPr>
              <w:t xml:space="preserve">59</w:t>
            </w:r>
          </w:p>
        </w:tc>
        <w:tc>
          <w:tcPr>
            <w:tcW w:w="1077" w:type="dxa"/>
          </w:tcPr>
          <w:p>
            <w:pPr>
              <w:pStyle w:val="0"/>
              <w:jc w:val="center"/>
            </w:pPr>
            <w:r>
              <w:rPr>
                <w:sz w:val="20"/>
              </w:rPr>
              <w:t xml:space="preserve">66</w:t>
            </w:r>
          </w:p>
        </w:tc>
        <w:tc>
          <w:tcPr>
            <w:tcW w:w="1077" w:type="dxa"/>
          </w:tcPr>
          <w:p>
            <w:pPr>
              <w:pStyle w:val="0"/>
              <w:jc w:val="center"/>
            </w:pPr>
            <w:r>
              <w:rPr>
                <w:sz w:val="20"/>
              </w:rPr>
              <w:t xml:space="preserve">45</w:t>
            </w:r>
          </w:p>
        </w:tc>
      </w:tr>
      <w:tr>
        <w:tc>
          <w:tcPr>
            <w:tcW w:w="624" w:type="dxa"/>
            <w:vMerge w:val="restart"/>
          </w:tcPr>
          <w:p>
            <w:pPr>
              <w:pStyle w:val="0"/>
              <w:jc w:val="center"/>
            </w:pPr>
            <w:r>
              <w:rPr>
                <w:sz w:val="20"/>
              </w:rPr>
              <w:t xml:space="preserve">48.</w:t>
            </w:r>
          </w:p>
        </w:tc>
        <w:tc>
          <w:tcPr>
            <w:tcW w:w="2608" w:type="dxa"/>
            <w:vMerge w:val="restart"/>
          </w:tcPr>
          <w:p>
            <w:pPr>
              <w:pStyle w:val="0"/>
            </w:pPr>
            <w:r>
              <w:rPr>
                <w:sz w:val="20"/>
              </w:rPr>
              <w:t xml:space="preserve">Развитие инженерной инфраструктуры на сельских территориях</w:t>
            </w:r>
          </w:p>
        </w:tc>
        <w:tc>
          <w:tcPr>
            <w:tcW w:w="1644" w:type="dxa"/>
            <w:vMerge w:val="restart"/>
          </w:tcPr>
          <w:p>
            <w:pPr>
              <w:pStyle w:val="0"/>
            </w:pPr>
            <w:r>
              <w:rPr>
                <w:sz w:val="20"/>
              </w:rPr>
              <w:t xml:space="preserve">Государственная программа Владимирской области "Комплексное развитие сельских территорий Владимирской области"</w:t>
            </w:r>
          </w:p>
        </w:tc>
        <w:tc>
          <w:tcPr>
            <w:tcW w:w="1247" w:type="dxa"/>
            <w:vMerge w:val="restart"/>
          </w:tcPr>
          <w:p>
            <w:pPr>
              <w:pStyle w:val="0"/>
            </w:pPr>
            <w:r>
              <w:rPr>
                <w:sz w:val="20"/>
              </w:rPr>
              <w:t xml:space="preserve">Департамент сельского хозяйства Владимирской области</w:t>
            </w:r>
          </w:p>
        </w:tc>
        <w:tc>
          <w:tcPr>
            <w:tcW w:w="3515" w:type="dxa"/>
          </w:tcPr>
          <w:p>
            <w:pPr>
              <w:pStyle w:val="0"/>
            </w:pPr>
            <w:r>
              <w:rPr>
                <w:sz w:val="20"/>
              </w:rPr>
              <w:t xml:space="preserve">Ввод в действие локальных водопроводов</w:t>
            </w:r>
          </w:p>
        </w:tc>
        <w:tc>
          <w:tcPr>
            <w:tcW w:w="737" w:type="dxa"/>
          </w:tcPr>
          <w:p>
            <w:pPr>
              <w:pStyle w:val="0"/>
            </w:pPr>
            <w:r>
              <w:rPr>
                <w:sz w:val="20"/>
              </w:rPr>
              <w:t xml:space="preserve">км</w:t>
            </w:r>
          </w:p>
        </w:tc>
        <w:tc>
          <w:tcPr>
            <w:tcW w:w="1077" w:type="dxa"/>
          </w:tcPr>
          <w:p>
            <w:pPr>
              <w:pStyle w:val="0"/>
              <w:jc w:val="center"/>
            </w:pPr>
            <w:r>
              <w:rPr>
                <w:sz w:val="20"/>
              </w:rPr>
              <w:t xml:space="preserve">-</w:t>
            </w:r>
          </w:p>
        </w:tc>
        <w:tc>
          <w:tcPr>
            <w:tcW w:w="1077" w:type="dxa"/>
          </w:tcPr>
          <w:p>
            <w:pPr>
              <w:pStyle w:val="0"/>
              <w:jc w:val="center"/>
            </w:pPr>
            <w:r>
              <w:rPr>
                <w:sz w:val="20"/>
              </w:rPr>
              <w:t xml:space="preserve">6,9</w:t>
            </w:r>
          </w:p>
        </w:tc>
        <w:tc>
          <w:tcPr>
            <w:tcW w:w="1077" w:type="dxa"/>
          </w:tcPr>
          <w:p>
            <w:pPr>
              <w:pStyle w:val="0"/>
              <w:jc w:val="center"/>
            </w:pPr>
            <w:r>
              <w:rPr>
                <w:sz w:val="20"/>
              </w:rPr>
              <w:t xml:space="preserve">-</w:t>
            </w:r>
          </w:p>
        </w:tc>
      </w:tr>
      <w:tr>
        <w:tc>
          <w:tcPr>
            <w:vMerge w:val="continue"/>
          </w:tcPr>
          <w:p/>
        </w:tc>
        <w:tc>
          <w:tcPr>
            <w:vMerge w:val="continue"/>
          </w:tcPr>
          <w:p/>
        </w:tc>
        <w:tc>
          <w:tcPr>
            <w:vMerge w:val="continue"/>
          </w:tcPr>
          <w:p/>
        </w:tc>
        <w:tc>
          <w:tcPr>
            <w:vMerge w:val="continue"/>
          </w:tcPr>
          <w:p/>
        </w:tc>
        <w:tc>
          <w:tcPr>
            <w:tcW w:w="3515" w:type="dxa"/>
          </w:tcPr>
          <w:p>
            <w:pPr>
              <w:pStyle w:val="0"/>
            </w:pPr>
            <w:r>
              <w:rPr>
                <w:sz w:val="20"/>
              </w:rPr>
              <w:t xml:space="preserve">Ввод в действие распределительных газовых сетей</w:t>
            </w:r>
          </w:p>
        </w:tc>
        <w:tc>
          <w:tcPr>
            <w:tcW w:w="737" w:type="dxa"/>
          </w:tcPr>
          <w:p>
            <w:pPr>
              <w:pStyle w:val="0"/>
            </w:pPr>
            <w:r>
              <w:rPr>
                <w:sz w:val="20"/>
              </w:rPr>
              <w:t xml:space="preserve">км</w:t>
            </w:r>
          </w:p>
        </w:tc>
        <w:tc>
          <w:tcPr>
            <w:tcW w:w="1077" w:type="dxa"/>
          </w:tcPr>
          <w:p>
            <w:pPr>
              <w:pStyle w:val="0"/>
              <w:jc w:val="center"/>
            </w:pPr>
            <w:r>
              <w:rPr>
                <w:sz w:val="20"/>
              </w:rPr>
              <w:t xml:space="preserve">27,0</w:t>
            </w:r>
          </w:p>
        </w:tc>
        <w:tc>
          <w:tcPr>
            <w:tcW w:w="1077" w:type="dxa"/>
          </w:tcPr>
          <w:p>
            <w:pPr>
              <w:pStyle w:val="0"/>
              <w:jc w:val="center"/>
            </w:pPr>
            <w:r>
              <w:rPr>
                <w:sz w:val="20"/>
              </w:rPr>
              <w:t xml:space="preserve">14,4</w:t>
            </w:r>
          </w:p>
        </w:tc>
        <w:tc>
          <w:tcPr>
            <w:tcW w:w="1077" w:type="dxa"/>
          </w:tcPr>
          <w:p>
            <w:pPr>
              <w:pStyle w:val="0"/>
              <w:jc w:val="center"/>
            </w:pPr>
            <w:r>
              <w:rPr>
                <w:sz w:val="20"/>
              </w:rPr>
              <w:t xml:space="preserve">14,4</w:t>
            </w:r>
          </w:p>
        </w:tc>
      </w:tr>
      <w:tr>
        <w:tc>
          <w:tcPr>
            <w:tcW w:w="624" w:type="dxa"/>
            <w:vMerge w:val="restart"/>
          </w:tcPr>
          <w:p>
            <w:pPr>
              <w:pStyle w:val="0"/>
              <w:jc w:val="center"/>
            </w:pPr>
            <w:r>
              <w:rPr>
                <w:sz w:val="20"/>
              </w:rPr>
              <w:t xml:space="preserve">49.</w:t>
            </w:r>
          </w:p>
        </w:tc>
        <w:tc>
          <w:tcPr>
            <w:tcW w:w="2608" w:type="dxa"/>
            <w:vMerge w:val="restart"/>
          </w:tcPr>
          <w:p>
            <w:pPr>
              <w:pStyle w:val="0"/>
            </w:pPr>
            <w:r>
              <w:rPr>
                <w:sz w:val="20"/>
              </w:rPr>
              <w:t xml:space="preserve">Благоустройство сельских территорий</w:t>
            </w:r>
          </w:p>
        </w:tc>
        <w:tc>
          <w:tcPr>
            <w:tcW w:w="1644" w:type="dxa"/>
            <w:vMerge w:val="restart"/>
          </w:tcPr>
          <w:p>
            <w:pPr>
              <w:pStyle w:val="0"/>
            </w:pPr>
            <w:r>
              <w:rPr>
                <w:sz w:val="20"/>
              </w:rPr>
              <w:t xml:space="preserve">Государственная программа Владимирской области "Комплексное развитие сельских территорий Владимирской области"</w:t>
            </w:r>
          </w:p>
        </w:tc>
        <w:tc>
          <w:tcPr>
            <w:tcW w:w="1247" w:type="dxa"/>
            <w:vMerge w:val="restart"/>
          </w:tcPr>
          <w:p>
            <w:pPr>
              <w:pStyle w:val="0"/>
            </w:pPr>
            <w:r>
              <w:rPr>
                <w:sz w:val="20"/>
              </w:rPr>
              <w:t xml:space="preserve">Департамент сельского хозяйства Владимирской области</w:t>
            </w:r>
          </w:p>
        </w:tc>
        <w:tc>
          <w:tcPr>
            <w:tcW w:w="3515" w:type="dxa"/>
          </w:tcPr>
          <w:p>
            <w:pPr>
              <w:pStyle w:val="0"/>
            </w:pPr>
            <w:r>
              <w:rPr>
                <w:sz w:val="20"/>
              </w:rPr>
              <w:t xml:space="preserve">Количество реализованных проектов по благоустройству сельских территорий</w:t>
            </w:r>
          </w:p>
        </w:tc>
        <w:tc>
          <w:tcPr>
            <w:tcW w:w="737" w:type="dxa"/>
          </w:tcPr>
          <w:p>
            <w:pPr>
              <w:pStyle w:val="0"/>
            </w:pPr>
            <w:r>
              <w:rPr>
                <w:sz w:val="20"/>
              </w:rPr>
              <w:t xml:space="preserve">единиц</w:t>
            </w:r>
          </w:p>
        </w:tc>
        <w:tc>
          <w:tcPr>
            <w:tcW w:w="1077" w:type="dxa"/>
          </w:tcPr>
          <w:p>
            <w:pPr>
              <w:pStyle w:val="0"/>
              <w:jc w:val="center"/>
            </w:pPr>
            <w:r>
              <w:rPr>
                <w:sz w:val="20"/>
              </w:rPr>
              <w:t xml:space="preserve">8</w:t>
            </w:r>
          </w:p>
        </w:tc>
        <w:tc>
          <w:tcPr>
            <w:tcW w:w="1077" w:type="dxa"/>
          </w:tcPr>
          <w:p>
            <w:pPr>
              <w:pStyle w:val="0"/>
              <w:jc w:val="center"/>
            </w:pPr>
            <w:r>
              <w:rPr>
                <w:sz w:val="20"/>
              </w:rPr>
              <w:t xml:space="preserve">11</w:t>
            </w:r>
          </w:p>
        </w:tc>
        <w:tc>
          <w:tcPr>
            <w:tcW w:w="1077" w:type="dxa"/>
          </w:tcPr>
          <w:p>
            <w:pPr>
              <w:pStyle w:val="0"/>
              <w:jc w:val="center"/>
            </w:pPr>
            <w:r>
              <w:rPr>
                <w:sz w:val="20"/>
              </w:rPr>
              <w:t xml:space="preserve">11</w:t>
            </w:r>
          </w:p>
        </w:tc>
      </w:tr>
      <w:tr>
        <w:tc>
          <w:tcPr>
            <w:vMerge w:val="continue"/>
          </w:tcPr>
          <w:p/>
        </w:tc>
        <w:tc>
          <w:tcPr>
            <w:vMerge w:val="continue"/>
          </w:tcPr>
          <w:p/>
        </w:tc>
        <w:tc>
          <w:tcPr>
            <w:vMerge w:val="continue"/>
          </w:tcPr>
          <w:p/>
        </w:tc>
        <w:tc>
          <w:tcPr>
            <w:vMerge w:val="continue"/>
          </w:tcPr>
          <w:p/>
        </w:tc>
        <w:tc>
          <w:tcPr>
            <w:tcW w:w="3515" w:type="dxa"/>
          </w:tcPr>
          <w:p>
            <w:pPr>
              <w:pStyle w:val="0"/>
            </w:pPr>
            <w:r>
              <w:rPr>
                <w:sz w:val="20"/>
              </w:rPr>
              <w:t xml:space="preserve">Объем площадей, обработанных от борщевика Сосновского</w:t>
            </w:r>
          </w:p>
        </w:tc>
        <w:tc>
          <w:tcPr>
            <w:tcW w:w="737" w:type="dxa"/>
          </w:tcPr>
          <w:p>
            <w:pPr>
              <w:pStyle w:val="0"/>
            </w:pPr>
            <w:r>
              <w:rPr>
                <w:sz w:val="20"/>
              </w:rPr>
              <w:t xml:space="preserve">гектаров</w:t>
            </w:r>
          </w:p>
        </w:tc>
        <w:tc>
          <w:tcPr>
            <w:tcW w:w="1077" w:type="dxa"/>
          </w:tcPr>
          <w:p>
            <w:pPr>
              <w:pStyle w:val="0"/>
              <w:jc w:val="center"/>
            </w:pPr>
            <w:r>
              <w:rPr>
                <w:sz w:val="20"/>
              </w:rPr>
              <w:t xml:space="preserve">446,5</w:t>
            </w:r>
          </w:p>
        </w:tc>
        <w:tc>
          <w:tcPr>
            <w:tcW w:w="1077" w:type="dxa"/>
          </w:tcPr>
          <w:p>
            <w:pPr>
              <w:pStyle w:val="0"/>
              <w:jc w:val="center"/>
            </w:pPr>
            <w:r>
              <w:rPr>
                <w:sz w:val="20"/>
              </w:rPr>
              <w:t xml:space="preserve">446,5</w:t>
            </w:r>
          </w:p>
        </w:tc>
        <w:tc>
          <w:tcPr>
            <w:tcW w:w="1077" w:type="dxa"/>
          </w:tcPr>
          <w:p>
            <w:pPr>
              <w:pStyle w:val="0"/>
              <w:jc w:val="center"/>
            </w:pPr>
            <w:r>
              <w:rPr>
                <w:sz w:val="20"/>
              </w:rPr>
              <w:t xml:space="preserve">446,5</w:t>
            </w:r>
          </w:p>
        </w:tc>
      </w:tr>
      <w:tr>
        <w:tc>
          <w:tcPr>
            <w:tcW w:w="624" w:type="dxa"/>
          </w:tcPr>
          <w:p>
            <w:pPr>
              <w:pStyle w:val="0"/>
              <w:jc w:val="center"/>
            </w:pPr>
            <w:r>
              <w:rPr>
                <w:sz w:val="20"/>
              </w:rPr>
              <w:t xml:space="preserve">50.</w:t>
            </w:r>
          </w:p>
        </w:tc>
        <w:tc>
          <w:tcPr>
            <w:tcW w:w="2608" w:type="dxa"/>
          </w:tcPr>
          <w:p>
            <w:pPr>
              <w:pStyle w:val="0"/>
            </w:pPr>
            <w:r>
              <w:rPr>
                <w:sz w:val="20"/>
              </w:rPr>
              <w:t xml:space="preserve">Современный облик сельских территорий</w:t>
            </w:r>
          </w:p>
        </w:tc>
        <w:tc>
          <w:tcPr>
            <w:tcW w:w="1644" w:type="dxa"/>
          </w:tcPr>
          <w:p>
            <w:pPr>
              <w:pStyle w:val="0"/>
            </w:pPr>
            <w:r>
              <w:rPr>
                <w:sz w:val="20"/>
              </w:rPr>
              <w:t xml:space="preserve">Государственная программа Владимирской области "Комплексное развитие сельских территорий Владимирской области"</w:t>
            </w:r>
          </w:p>
        </w:tc>
        <w:tc>
          <w:tcPr>
            <w:tcW w:w="1247" w:type="dxa"/>
          </w:tcPr>
          <w:p>
            <w:pPr>
              <w:pStyle w:val="0"/>
            </w:pPr>
            <w:r>
              <w:rPr>
                <w:sz w:val="20"/>
              </w:rPr>
              <w:t xml:space="preserve">Департамент сельского хозяйства Владимирской области</w:t>
            </w:r>
          </w:p>
        </w:tc>
        <w:tc>
          <w:tcPr>
            <w:tcW w:w="3515" w:type="dxa"/>
          </w:tcPr>
          <w:p>
            <w:pPr>
              <w:pStyle w:val="0"/>
            </w:pPr>
            <w:r>
              <w:rPr>
                <w:sz w:val="20"/>
              </w:rPr>
              <w:t xml:space="preserve">Количество реализованных проектов комплексного развития сельских территорий</w:t>
            </w:r>
          </w:p>
        </w:tc>
        <w:tc>
          <w:tcPr>
            <w:tcW w:w="737" w:type="dxa"/>
          </w:tcPr>
          <w:p>
            <w:pPr>
              <w:pStyle w:val="0"/>
            </w:pPr>
            <w:r>
              <w:rPr>
                <w:sz w:val="20"/>
              </w:rPr>
              <w:t xml:space="preserve">единиц</w:t>
            </w:r>
          </w:p>
        </w:tc>
        <w:tc>
          <w:tcPr>
            <w:tcW w:w="1077" w:type="dxa"/>
          </w:tcPr>
          <w:p>
            <w:pPr>
              <w:pStyle w:val="0"/>
              <w:jc w:val="center"/>
            </w:pPr>
            <w:r>
              <w:rPr>
                <w:sz w:val="20"/>
              </w:rPr>
              <w:t xml:space="preserve">1</w:t>
            </w:r>
          </w:p>
        </w:tc>
        <w:tc>
          <w:tcPr>
            <w:tcW w:w="1077" w:type="dxa"/>
          </w:tcPr>
          <w:p>
            <w:pPr>
              <w:pStyle w:val="0"/>
              <w:jc w:val="center"/>
            </w:pPr>
            <w:r>
              <w:rPr>
                <w:sz w:val="20"/>
              </w:rPr>
              <w:t xml:space="preserve">-</w:t>
            </w:r>
          </w:p>
        </w:tc>
        <w:tc>
          <w:tcPr>
            <w:tcW w:w="1077" w:type="dxa"/>
          </w:tcPr>
          <w:p>
            <w:pPr>
              <w:pStyle w:val="0"/>
              <w:jc w:val="center"/>
            </w:pPr>
            <w:r>
              <w:rPr>
                <w:sz w:val="20"/>
              </w:rPr>
              <w:t xml:space="preserve">-</w:t>
            </w:r>
          </w:p>
        </w:tc>
      </w:tr>
      <w:tr>
        <w:tc>
          <w:tcPr>
            <w:tcW w:w="624" w:type="dxa"/>
          </w:tcPr>
          <w:p>
            <w:pPr>
              <w:pStyle w:val="0"/>
              <w:jc w:val="center"/>
            </w:pPr>
            <w:r>
              <w:rPr>
                <w:sz w:val="20"/>
              </w:rPr>
              <w:t xml:space="preserve">51.</w:t>
            </w:r>
          </w:p>
        </w:tc>
        <w:tc>
          <w:tcPr>
            <w:tcW w:w="2608" w:type="dxa"/>
          </w:tcPr>
          <w:p>
            <w:pPr>
              <w:pStyle w:val="0"/>
            </w:pPr>
            <w:r>
              <w:rPr>
                <w:sz w:val="20"/>
              </w:rPr>
              <w:t xml:space="preserve">Модернизация систем уличного наружного освещения муниципальных образований области</w:t>
            </w:r>
          </w:p>
        </w:tc>
        <w:tc>
          <w:tcPr>
            <w:tcW w:w="1644" w:type="dxa"/>
          </w:tcPr>
          <w:p>
            <w:pPr>
              <w:pStyle w:val="0"/>
            </w:pPr>
            <w:r>
              <w:rPr>
                <w:sz w:val="20"/>
              </w:rPr>
              <w:t xml:space="preserve">Государственная программа "Энергосбережение и повышение энергетической эффективности во Владимирской области"</w:t>
            </w:r>
          </w:p>
        </w:tc>
        <w:tc>
          <w:tcPr>
            <w:tcW w:w="1247" w:type="dxa"/>
          </w:tcPr>
          <w:p>
            <w:pPr>
              <w:pStyle w:val="0"/>
            </w:pPr>
            <w:r>
              <w:rPr>
                <w:sz w:val="20"/>
              </w:rPr>
              <w:t xml:space="preserve">Департамент жилищно-коммунального хозяйства Владимирской области</w:t>
            </w:r>
          </w:p>
        </w:tc>
        <w:tc>
          <w:tcPr>
            <w:tcW w:w="3515" w:type="dxa"/>
          </w:tcPr>
          <w:p>
            <w:pPr>
              <w:pStyle w:val="0"/>
            </w:pPr>
            <w:r>
              <w:rPr>
                <w:sz w:val="20"/>
              </w:rPr>
              <w:t xml:space="preserve">Количество установленных энергосберегающих светильников в системах уличного наружного освещения</w:t>
            </w:r>
          </w:p>
        </w:tc>
        <w:tc>
          <w:tcPr>
            <w:tcW w:w="737" w:type="dxa"/>
          </w:tcPr>
          <w:p>
            <w:pPr>
              <w:pStyle w:val="0"/>
            </w:pPr>
            <w:r>
              <w:rPr>
                <w:sz w:val="20"/>
              </w:rPr>
              <w:t xml:space="preserve">ед.</w:t>
            </w:r>
          </w:p>
        </w:tc>
        <w:tc>
          <w:tcPr>
            <w:tcW w:w="1077" w:type="dxa"/>
          </w:tcPr>
          <w:p>
            <w:pPr>
              <w:pStyle w:val="0"/>
              <w:jc w:val="center"/>
            </w:pPr>
            <w:r>
              <w:rPr>
                <w:sz w:val="20"/>
              </w:rPr>
              <w:t xml:space="preserve">1000</w:t>
            </w:r>
          </w:p>
        </w:tc>
        <w:tc>
          <w:tcPr>
            <w:tcW w:w="1077" w:type="dxa"/>
          </w:tcPr>
          <w:p>
            <w:pPr>
              <w:pStyle w:val="0"/>
              <w:jc w:val="center"/>
            </w:pPr>
            <w:r>
              <w:rPr>
                <w:sz w:val="20"/>
              </w:rPr>
              <w:t xml:space="preserve">1000</w:t>
            </w:r>
          </w:p>
        </w:tc>
        <w:tc>
          <w:tcPr>
            <w:tcW w:w="1077" w:type="dxa"/>
          </w:tcPr>
          <w:p>
            <w:pPr>
              <w:pStyle w:val="0"/>
              <w:jc w:val="center"/>
            </w:pPr>
            <w:r>
              <w:rPr>
                <w:sz w:val="20"/>
              </w:rPr>
              <w:t xml:space="preserve">1000</w:t>
            </w:r>
          </w:p>
        </w:tc>
      </w:tr>
      <w:tr>
        <w:tc>
          <w:tcPr>
            <w:tcW w:w="624" w:type="dxa"/>
            <w:vMerge w:val="restart"/>
          </w:tcPr>
          <w:p>
            <w:pPr>
              <w:pStyle w:val="0"/>
              <w:jc w:val="center"/>
            </w:pPr>
            <w:r>
              <w:rPr>
                <w:sz w:val="20"/>
              </w:rPr>
              <w:t xml:space="preserve">52.</w:t>
            </w:r>
          </w:p>
        </w:tc>
        <w:tc>
          <w:tcPr>
            <w:tcW w:w="2608" w:type="dxa"/>
            <w:vMerge w:val="restart"/>
          </w:tcPr>
          <w:p>
            <w:pPr>
              <w:pStyle w:val="0"/>
            </w:pPr>
            <w:r>
              <w:rPr>
                <w:sz w:val="20"/>
              </w:rPr>
              <w:t xml:space="preserve">Строительство, реконструкция и модернизация систем (объектов) коммунальной инфраструктуры в сфере теплоснабжения, водоснабжения, водоотведения</w:t>
            </w:r>
          </w:p>
        </w:tc>
        <w:tc>
          <w:tcPr>
            <w:tcW w:w="1644" w:type="dxa"/>
            <w:vMerge w:val="restart"/>
          </w:tcPr>
          <w:p>
            <w:pPr>
              <w:pStyle w:val="0"/>
            </w:pPr>
            <w:r>
              <w:rPr>
                <w:sz w:val="20"/>
              </w:rPr>
              <w:t xml:space="preserve">Государственная программа "Энергосбережение и повышение энергетической эффективности во Владимирской области"</w:t>
            </w:r>
          </w:p>
        </w:tc>
        <w:tc>
          <w:tcPr>
            <w:tcW w:w="1247" w:type="dxa"/>
            <w:vMerge w:val="restart"/>
          </w:tcPr>
          <w:p>
            <w:pPr>
              <w:pStyle w:val="0"/>
            </w:pPr>
            <w:r>
              <w:rPr>
                <w:sz w:val="20"/>
              </w:rPr>
              <w:t xml:space="preserve">Департамент жилищно-коммунального хозяйства Владимирской области</w:t>
            </w:r>
          </w:p>
        </w:tc>
        <w:tc>
          <w:tcPr>
            <w:tcW w:w="3515" w:type="dxa"/>
          </w:tcPr>
          <w:p>
            <w:pPr>
              <w:pStyle w:val="0"/>
            </w:pPr>
            <w:r>
              <w:rPr>
                <w:sz w:val="20"/>
              </w:rPr>
              <w:t xml:space="preserve">Количество переведенных на индивидуальное отопление муниципальных квартир</w:t>
            </w:r>
          </w:p>
        </w:tc>
        <w:tc>
          <w:tcPr>
            <w:tcW w:w="737" w:type="dxa"/>
          </w:tcPr>
          <w:p>
            <w:pPr>
              <w:pStyle w:val="0"/>
            </w:pPr>
            <w:r>
              <w:rPr>
                <w:sz w:val="20"/>
              </w:rPr>
              <w:t xml:space="preserve">ед.</w:t>
            </w:r>
          </w:p>
        </w:tc>
        <w:tc>
          <w:tcPr>
            <w:tcW w:w="1077" w:type="dxa"/>
          </w:tcPr>
          <w:p>
            <w:pPr>
              <w:pStyle w:val="0"/>
              <w:jc w:val="center"/>
            </w:pPr>
            <w:r>
              <w:rPr>
                <w:sz w:val="20"/>
              </w:rPr>
              <w:t xml:space="preserve">15</w:t>
            </w:r>
          </w:p>
        </w:tc>
        <w:tc>
          <w:tcPr>
            <w:tcW w:w="1077" w:type="dxa"/>
          </w:tcPr>
          <w:p>
            <w:pPr>
              <w:pStyle w:val="0"/>
              <w:jc w:val="center"/>
            </w:pPr>
            <w:r>
              <w:rPr>
                <w:sz w:val="20"/>
              </w:rPr>
              <w:t xml:space="preserve">15</w:t>
            </w:r>
          </w:p>
        </w:tc>
        <w:tc>
          <w:tcPr>
            <w:tcW w:w="1077" w:type="dxa"/>
          </w:tcPr>
          <w:p>
            <w:pPr>
              <w:pStyle w:val="0"/>
              <w:jc w:val="center"/>
            </w:pPr>
            <w:r>
              <w:rPr>
                <w:sz w:val="20"/>
              </w:rPr>
              <w:t xml:space="preserve">15</w:t>
            </w:r>
          </w:p>
        </w:tc>
      </w:tr>
      <w:tr>
        <w:tc>
          <w:tcPr>
            <w:vMerge w:val="continue"/>
          </w:tcPr>
          <w:p/>
        </w:tc>
        <w:tc>
          <w:tcPr>
            <w:vMerge w:val="continue"/>
          </w:tcPr>
          <w:p/>
        </w:tc>
        <w:tc>
          <w:tcPr>
            <w:vMerge w:val="continue"/>
          </w:tcPr>
          <w:p/>
        </w:tc>
        <w:tc>
          <w:tcPr>
            <w:vMerge w:val="continue"/>
          </w:tcPr>
          <w:p/>
        </w:tc>
        <w:tc>
          <w:tcPr>
            <w:tcW w:w="3515" w:type="dxa"/>
          </w:tcPr>
          <w:p>
            <w:pPr>
              <w:pStyle w:val="0"/>
            </w:pPr>
            <w:r>
              <w:rPr>
                <w:sz w:val="20"/>
              </w:rPr>
              <w:t xml:space="preserve">Количество построенных и модернизированных котельных</w:t>
            </w:r>
          </w:p>
        </w:tc>
        <w:tc>
          <w:tcPr>
            <w:tcW w:w="737" w:type="dxa"/>
          </w:tcPr>
          <w:p>
            <w:pPr>
              <w:pStyle w:val="0"/>
            </w:pPr>
            <w:r>
              <w:rPr>
                <w:sz w:val="20"/>
              </w:rPr>
              <w:t xml:space="preserve">ед.</w:t>
            </w:r>
          </w:p>
        </w:tc>
        <w:tc>
          <w:tcPr>
            <w:tcW w:w="1077" w:type="dxa"/>
          </w:tcPr>
          <w:p>
            <w:pPr>
              <w:pStyle w:val="0"/>
              <w:jc w:val="center"/>
            </w:pPr>
            <w:r>
              <w:rPr>
                <w:sz w:val="20"/>
              </w:rPr>
              <w:t xml:space="preserve">3</w:t>
            </w:r>
          </w:p>
        </w:tc>
        <w:tc>
          <w:tcPr>
            <w:tcW w:w="1077" w:type="dxa"/>
          </w:tcPr>
          <w:p>
            <w:pPr>
              <w:pStyle w:val="0"/>
              <w:jc w:val="center"/>
            </w:pPr>
            <w:r>
              <w:rPr>
                <w:sz w:val="20"/>
              </w:rPr>
              <w:t xml:space="preserve">4</w:t>
            </w:r>
          </w:p>
        </w:tc>
        <w:tc>
          <w:tcPr>
            <w:tcW w:w="1077" w:type="dxa"/>
          </w:tcPr>
          <w:p>
            <w:pPr>
              <w:pStyle w:val="0"/>
              <w:jc w:val="center"/>
            </w:pPr>
            <w:r>
              <w:rPr>
                <w:sz w:val="20"/>
              </w:rPr>
              <w:t xml:space="preserve">4</w:t>
            </w:r>
          </w:p>
        </w:tc>
      </w:tr>
      <w:tr>
        <w:tc>
          <w:tcPr>
            <w:tcW w:w="624" w:type="dxa"/>
            <w:vMerge w:val="restart"/>
          </w:tcPr>
          <w:p>
            <w:pPr>
              <w:pStyle w:val="0"/>
              <w:jc w:val="center"/>
            </w:pPr>
            <w:r>
              <w:rPr>
                <w:sz w:val="20"/>
              </w:rPr>
              <w:t xml:space="preserve">53.</w:t>
            </w:r>
          </w:p>
        </w:tc>
        <w:tc>
          <w:tcPr>
            <w:tcW w:w="2608" w:type="dxa"/>
            <w:vMerge w:val="restart"/>
          </w:tcPr>
          <w:p>
            <w:pPr>
              <w:pStyle w:val="0"/>
            </w:pPr>
            <w:r>
              <w:rPr>
                <w:sz w:val="20"/>
              </w:rPr>
              <w:t xml:space="preserve">Мероприятия по благоустройству дворовых и (или) общественных территорий</w:t>
            </w:r>
          </w:p>
        </w:tc>
        <w:tc>
          <w:tcPr>
            <w:tcW w:w="1644" w:type="dxa"/>
            <w:vMerge w:val="restart"/>
          </w:tcPr>
          <w:p>
            <w:pPr>
              <w:pStyle w:val="0"/>
            </w:pPr>
            <w:r>
              <w:rPr>
                <w:sz w:val="20"/>
              </w:rPr>
              <w:t xml:space="preserve">Государственная программа Владимирской области "Благоустройство территорий муниципальных образований Владимирской области"</w:t>
            </w:r>
          </w:p>
        </w:tc>
        <w:tc>
          <w:tcPr>
            <w:tcW w:w="1247" w:type="dxa"/>
            <w:vMerge w:val="restart"/>
          </w:tcPr>
          <w:p>
            <w:pPr>
              <w:pStyle w:val="0"/>
            </w:pPr>
            <w:r>
              <w:rPr>
                <w:sz w:val="20"/>
              </w:rPr>
              <w:t xml:space="preserve">Департамент жилищно-коммунального хозяйства Владимирской области</w:t>
            </w:r>
          </w:p>
        </w:tc>
        <w:tc>
          <w:tcPr>
            <w:tcW w:w="3515" w:type="dxa"/>
          </w:tcPr>
          <w:p>
            <w:pPr>
              <w:pStyle w:val="0"/>
            </w:pPr>
            <w:r>
              <w:rPr>
                <w:sz w:val="20"/>
              </w:rPr>
              <w:t xml:space="preserve">Количество благоустроенных дворовых территорий, включенных в государственные (муниципальные) программы формирования современной городской среды</w:t>
            </w:r>
          </w:p>
        </w:tc>
        <w:tc>
          <w:tcPr>
            <w:tcW w:w="737" w:type="dxa"/>
          </w:tcPr>
          <w:p>
            <w:pPr>
              <w:pStyle w:val="0"/>
            </w:pPr>
            <w:r>
              <w:rPr>
                <w:sz w:val="20"/>
              </w:rPr>
              <w:t xml:space="preserve">ед.</w:t>
            </w:r>
          </w:p>
        </w:tc>
        <w:tc>
          <w:tcPr>
            <w:tcW w:w="1077" w:type="dxa"/>
          </w:tcPr>
          <w:p>
            <w:pPr>
              <w:pStyle w:val="0"/>
              <w:jc w:val="center"/>
            </w:pPr>
            <w:r>
              <w:rPr>
                <w:sz w:val="20"/>
              </w:rPr>
              <w:t xml:space="preserve">20</w:t>
            </w:r>
          </w:p>
        </w:tc>
        <w:tc>
          <w:tcPr>
            <w:tcW w:w="1077" w:type="dxa"/>
          </w:tcPr>
          <w:p>
            <w:pPr>
              <w:pStyle w:val="0"/>
              <w:jc w:val="center"/>
            </w:pPr>
            <w:r>
              <w:rPr>
                <w:sz w:val="20"/>
              </w:rPr>
              <w:t xml:space="preserve">10</w:t>
            </w:r>
          </w:p>
        </w:tc>
        <w:tc>
          <w:tcPr>
            <w:tcW w:w="1077" w:type="dxa"/>
          </w:tcPr>
          <w:p>
            <w:pPr>
              <w:pStyle w:val="0"/>
              <w:jc w:val="center"/>
            </w:pPr>
            <w:r>
              <w:rPr>
                <w:sz w:val="20"/>
              </w:rPr>
              <w:t xml:space="preserve">10</w:t>
            </w:r>
          </w:p>
        </w:tc>
      </w:tr>
      <w:tr>
        <w:tc>
          <w:tcPr>
            <w:vMerge w:val="continue"/>
          </w:tcPr>
          <w:p/>
        </w:tc>
        <w:tc>
          <w:tcPr>
            <w:vMerge w:val="continue"/>
          </w:tcPr>
          <w:p/>
        </w:tc>
        <w:tc>
          <w:tcPr>
            <w:vMerge w:val="continue"/>
          </w:tcPr>
          <w:p/>
        </w:tc>
        <w:tc>
          <w:tcPr>
            <w:vMerge w:val="continue"/>
          </w:tcPr>
          <w:p/>
        </w:tc>
        <w:tc>
          <w:tcPr>
            <w:tcW w:w="3515" w:type="dxa"/>
          </w:tcPr>
          <w:p>
            <w:pPr>
              <w:pStyle w:val="0"/>
            </w:pPr>
            <w:r>
              <w:rPr>
                <w:sz w:val="20"/>
              </w:rPr>
              <w:t xml:space="preserve">Количество благоустроенных общественных территорий</w:t>
            </w:r>
          </w:p>
        </w:tc>
        <w:tc>
          <w:tcPr>
            <w:tcW w:w="737" w:type="dxa"/>
          </w:tcPr>
          <w:p>
            <w:pPr>
              <w:pStyle w:val="0"/>
            </w:pPr>
            <w:r>
              <w:rPr>
                <w:sz w:val="20"/>
              </w:rPr>
              <w:t xml:space="preserve">ед.</w:t>
            </w:r>
          </w:p>
        </w:tc>
        <w:tc>
          <w:tcPr>
            <w:tcW w:w="1077" w:type="dxa"/>
          </w:tcPr>
          <w:p>
            <w:pPr>
              <w:pStyle w:val="0"/>
              <w:jc w:val="center"/>
            </w:pPr>
            <w:r>
              <w:rPr>
                <w:sz w:val="20"/>
              </w:rPr>
              <w:t xml:space="preserve">31</w:t>
            </w:r>
          </w:p>
        </w:tc>
        <w:tc>
          <w:tcPr>
            <w:tcW w:w="1077" w:type="dxa"/>
          </w:tcPr>
          <w:p>
            <w:pPr>
              <w:pStyle w:val="0"/>
              <w:jc w:val="center"/>
            </w:pPr>
            <w:r>
              <w:rPr>
                <w:sz w:val="20"/>
              </w:rPr>
              <w:t xml:space="preserve">31</w:t>
            </w:r>
          </w:p>
        </w:tc>
        <w:tc>
          <w:tcPr>
            <w:tcW w:w="1077" w:type="dxa"/>
          </w:tcPr>
          <w:p>
            <w:pPr>
              <w:pStyle w:val="0"/>
              <w:jc w:val="center"/>
            </w:pPr>
            <w:r>
              <w:rPr>
                <w:sz w:val="20"/>
              </w:rPr>
              <w:t xml:space="preserve">31</w:t>
            </w:r>
          </w:p>
        </w:tc>
      </w:tr>
      <w:tr>
        <w:tc>
          <w:tcPr>
            <w:vMerge w:val="continue"/>
          </w:tcPr>
          <w:p/>
        </w:tc>
        <w:tc>
          <w:tcPr>
            <w:vMerge w:val="continue"/>
          </w:tcPr>
          <w:p/>
        </w:tc>
        <w:tc>
          <w:tcPr>
            <w:vMerge w:val="continue"/>
          </w:tcPr>
          <w:p/>
        </w:tc>
        <w:tc>
          <w:tcPr>
            <w:vMerge w:val="continue"/>
          </w:tcPr>
          <w:p/>
        </w:tc>
        <w:tc>
          <w:tcPr>
            <w:tcW w:w="3515" w:type="dxa"/>
          </w:tcPr>
          <w:p>
            <w:pPr>
              <w:pStyle w:val="0"/>
            </w:pPr>
            <w:r>
              <w:rPr>
                <w:sz w:val="20"/>
              </w:rPr>
              <w:t xml:space="preserve">Индекс качества городской среды по Владимирской области</w:t>
            </w:r>
          </w:p>
        </w:tc>
        <w:tc>
          <w:tcPr>
            <w:tcW w:w="737" w:type="dxa"/>
          </w:tcPr>
          <w:p>
            <w:pPr>
              <w:pStyle w:val="0"/>
            </w:pPr>
            <w:r>
              <w:rPr>
                <w:sz w:val="20"/>
              </w:rPr>
              <w:t xml:space="preserve">ед.</w:t>
            </w:r>
          </w:p>
        </w:tc>
        <w:tc>
          <w:tcPr>
            <w:tcW w:w="1077" w:type="dxa"/>
          </w:tcPr>
          <w:p>
            <w:pPr>
              <w:pStyle w:val="0"/>
              <w:jc w:val="center"/>
            </w:pPr>
            <w:r>
              <w:rPr>
                <w:sz w:val="20"/>
              </w:rPr>
              <w:t xml:space="preserve">200</w:t>
            </w:r>
          </w:p>
        </w:tc>
        <w:tc>
          <w:tcPr>
            <w:tcW w:w="1077" w:type="dxa"/>
          </w:tcPr>
          <w:p>
            <w:pPr>
              <w:pStyle w:val="0"/>
              <w:jc w:val="center"/>
            </w:pPr>
            <w:r>
              <w:rPr>
                <w:sz w:val="20"/>
              </w:rPr>
              <w:t xml:space="preserve">208</w:t>
            </w:r>
          </w:p>
        </w:tc>
        <w:tc>
          <w:tcPr>
            <w:tcW w:w="1077" w:type="dxa"/>
          </w:tcPr>
          <w:p>
            <w:pPr>
              <w:pStyle w:val="0"/>
              <w:jc w:val="center"/>
            </w:pPr>
            <w:r>
              <w:rPr>
                <w:sz w:val="20"/>
              </w:rPr>
              <w:t xml:space="preserve">217</w:t>
            </w:r>
          </w:p>
        </w:tc>
      </w:tr>
      <w:tr>
        <w:tc>
          <w:tcPr>
            <w:vMerge w:val="continue"/>
          </w:tcPr>
          <w:p/>
        </w:tc>
        <w:tc>
          <w:tcPr>
            <w:vMerge w:val="continue"/>
          </w:tcPr>
          <w:p/>
        </w:tc>
        <w:tc>
          <w:tcPr>
            <w:vMerge w:val="continue"/>
          </w:tcPr>
          <w:p/>
        </w:tc>
        <w:tc>
          <w:tcPr>
            <w:vMerge w:val="continue"/>
          </w:tcPr>
          <w:p/>
        </w:tc>
        <w:tc>
          <w:tcPr>
            <w:tcW w:w="3515" w:type="dxa"/>
          </w:tcPr>
          <w:p>
            <w:pPr>
              <w:pStyle w:val="0"/>
            </w:pPr>
            <w:r>
              <w:rPr>
                <w:sz w:val="20"/>
              </w:rPr>
              <w:t xml:space="preserve">Количество городов с благоприятной городской средой</w:t>
            </w:r>
          </w:p>
        </w:tc>
        <w:tc>
          <w:tcPr>
            <w:tcW w:w="737" w:type="dxa"/>
          </w:tcPr>
          <w:p>
            <w:pPr>
              <w:pStyle w:val="0"/>
            </w:pPr>
            <w:r>
              <w:rPr>
                <w:sz w:val="20"/>
              </w:rPr>
              <w:t xml:space="preserve">ед.</w:t>
            </w:r>
          </w:p>
        </w:tc>
        <w:tc>
          <w:tcPr>
            <w:tcW w:w="1077" w:type="dxa"/>
          </w:tcPr>
          <w:p>
            <w:pPr>
              <w:pStyle w:val="0"/>
              <w:jc w:val="center"/>
            </w:pPr>
            <w:r>
              <w:rPr>
                <w:sz w:val="20"/>
              </w:rPr>
              <w:t xml:space="preserve">10</w:t>
            </w:r>
          </w:p>
        </w:tc>
        <w:tc>
          <w:tcPr>
            <w:tcW w:w="1077" w:type="dxa"/>
          </w:tcPr>
          <w:p>
            <w:pPr>
              <w:pStyle w:val="0"/>
              <w:jc w:val="center"/>
            </w:pPr>
            <w:r>
              <w:rPr>
                <w:sz w:val="20"/>
              </w:rPr>
              <w:t xml:space="preserve">12</w:t>
            </w:r>
          </w:p>
        </w:tc>
        <w:tc>
          <w:tcPr>
            <w:tcW w:w="1077" w:type="dxa"/>
          </w:tcPr>
          <w:p>
            <w:pPr>
              <w:pStyle w:val="0"/>
              <w:jc w:val="center"/>
            </w:pPr>
            <w:r>
              <w:rPr>
                <w:sz w:val="20"/>
              </w:rPr>
              <w:t xml:space="preserve">14</w:t>
            </w:r>
          </w:p>
        </w:tc>
      </w:tr>
      <w:tr>
        <w:tc>
          <w:tcPr>
            <w:vMerge w:val="continue"/>
          </w:tcPr>
          <w:p/>
        </w:tc>
        <w:tc>
          <w:tcPr>
            <w:vMerge w:val="continue"/>
          </w:tcPr>
          <w:p/>
        </w:tc>
        <w:tc>
          <w:tcPr>
            <w:vMerge w:val="continue"/>
          </w:tcPr>
          <w:p/>
        </w:tc>
        <w:tc>
          <w:tcPr>
            <w:vMerge w:val="continue"/>
          </w:tcPr>
          <w:p/>
        </w:tc>
        <w:tc>
          <w:tcPr>
            <w:tcW w:w="3515" w:type="dxa"/>
          </w:tcPr>
          <w:p>
            <w:pPr>
              <w:pStyle w:val="0"/>
            </w:pPr>
            <w:r>
              <w:rPr>
                <w:sz w:val="20"/>
              </w:rPr>
              <w:t xml:space="preserve">Доля городов с благоприятной городской средой от общего количества городов</w:t>
            </w:r>
          </w:p>
        </w:tc>
        <w:tc>
          <w:tcPr>
            <w:tcW w:w="737" w:type="dxa"/>
          </w:tcPr>
          <w:p>
            <w:pPr>
              <w:pStyle w:val="0"/>
            </w:pPr>
            <w:r>
              <w:rPr>
                <w:sz w:val="20"/>
              </w:rPr>
              <w:t xml:space="preserve">%</w:t>
            </w:r>
          </w:p>
        </w:tc>
        <w:tc>
          <w:tcPr>
            <w:tcW w:w="1077" w:type="dxa"/>
          </w:tcPr>
          <w:p>
            <w:pPr>
              <w:pStyle w:val="0"/>
              <w:jc w:val="center"/>
            </w:pPr>
            <w:r>
              <w:rPr>
                <w:sz w:val="20"/>
              </w:rPr>
              <w:t xml:space="preserve">43</w:t>
            </w:r>
          </w:p>
        </w:tc>
        <w:tc>
          <w:tcPr>
            <w:tcW w:w="1077" w:type="dxa"/>
          </w:tcPr>
          <w:p>
            <w:pPr>
              <w:pStyle w:val="0"/>
              <w:jc w:val="center"/>
            </w:pPr>
            <w:r>
              <w:rPr>
                <w:sz w:val="20"/>
              </w:rPr>
              <w:t xml:space="preserve">52</w:t>
            </w:r>
          </w:p>
        </w:tc>
        <w:tc>
          <w:tcPr>
            <w:tcW w:w="1077" w:type="dxa"/>
          </w:tcPr>
          <w:p>
            <w:pPr>
              <w:pStyle w:val="0"/>
              <w:jc w:val="center"/>
            </w:pPr>
            <w:r>
              <w:rPr>
                <w:sz w:val="20"/>
              </w:rPr>
              <w:t xml:space="preserve">61</w:t>
            </w:r>
          </w:p>
        </w:tc>
      </w:tr>
      <w:tr>
        <w:tc>
          <w:tcPr>
            <w:vMerge w:val="continue"/>
          </w:tcPr>
          <w:p/>
        </w:tc>
        <w:tc>
          <w:tcPr>
            <w:vMerge w:val="continue"/>
          </w:tcPr>
          <w:p/>
        </w:tc>
        <w:tc>
          <w:tcPr>
            <w:vMerge w:val="continue"/>
          </w:tcPr>
          <w:p/>
        </w:tc>
        <w:tc>
          <w:tcPr>
            <w:vMerge w:val="continue"/>
          </w:tcPr>
          <w:p/>
        </w:tc>
        <w:tc>
          <w:tcPr>
            <w:tcW w:w="3515" w:type="dxa"/>
          </w:tcPr>
          <w:p>
            <w:pPr>
              <w:pStyle w:val="0"/>
            </w:pPr>
            <w:r>
              <w:rPr>
                <w:sz w:val="20"/>
              </w:rPr>
              <w:t xml:space="preserve">Прирост среднего индекса качества городской среды по отношению к 2019 году</w:t>
            </w:r>
          </w:p>
        </w:tc>
        <w:tc>
          <w:tcPr>
            <w:tcW w:w="737" w:type="dxa"/>
          </w:tcPr>
          <w:p>
            <w:pPr>
              <w:pStyle w:val="0"/>
            </w:pPr>
            <w:r>
              <w:rPr>
                <w:sz w:val="20"/>
              </w:rPr>
              <w:t xml:space="preserve">%</w:t>
            </w:r>
          </w:p>
        </w:tc>
        <w:tc>
          <w:tcPr>
            <w:tcW w:w="1077" w:type="dxa"/>
          </w:tcPr>
          <w:p>
            <w:pPr>
              <w:pStyle w:val="0"/>
              <w:jc w:val="center"/>
            </w:pPr>
            <w:r>
              <w:rPr>
                <w:sz w:val="20"/>
              </w:rPr>
              <w:t xml:space="preserve">13</w:t>
            </w:r>
          </w:p>
        </w:tc>
        <w:tc>
          <w:tcPr>
            <w:tcW w:w="1077" w:type="dxa"/>
          </w:tcPr>
          <w:p>
            <w:pPr>
              <w:pStyle w:val="0"/>
              <w:jc w:val="center"/>
            </w:pPr>
            <w:r>
              <w:rPr>
                <w:sz w:val="20"/>
              </w:rPr>
              <w:t xml:space="preserve">18</w:t>
            </w:r>
          </w:p>
        </w:tc>
        <w:tc>
          <w:tcPr>
            <w:tcW w:w="1077" w:type="dxa"/>
          </w:tcPr>
          <w:p>
            <w:pPr>
              <w:pStyle w:val="0"/>
              <w:jc w:val="center"/>
            </w:pPr>
            <w:r>
              <w:rPr>
                <w:sz w:val="20"/>
              </w:rPr>
              <w:t xml:space="preserve">23</w:t>
            </w:r>
          </w:p>
        </w:tc>
      </w:tr>
      <w:tr>
        <w:tc>
          <w:tcPr>
            <w:vMerge w:val="continue"/>
          </w:tcPr>
          <w:p/>
        </w:tc>
        <w:tc>
          <w:tcPr>
            <w:vMerge w:val="continue"/>
          </w:tcPr>
          <w:p/>
        </w:tc>
        <w:tc>
          <w:tcPr>
            <w:vMerge w:val="continue"/>
          </w:tcPr>
          <w:p/>
        </w:tc>
        <w:tc>
          <w:tcPr>
            <w:vMerge w:val="continue"/>
          </w:tcPr>
          <w:p/>
        </w:tc>
        <w:tc>
          <w:tcPr>
            <w:tcW w:w="3515" w:type="dxa"/>
          </w:tcPr>
          <w:p>
            <w:pPr>
              <w:pStyle w:val="0"/>
            </w:pPr>
            <w:r>
              <w:rPr>
                <w:sz w:val="20"/>
              </w:rPr>
              <w:t xml:space="preserve">Доля граждан, принявших участие в решении вопросов развития городской среды, от общего количества граждан в возрасте от 14 лет, проживающих в муниципальных образованиях, на территории которых реализуются проекты по созданию комфортной городской среды</w:t>
            </w:r>
          </w:p>
        </w:tc>
        <w:tc>
          <w:tcPr>
            <w:tcW w:w="737" w:type="dxa"/>
          </w:tcPr>
          <w:p>
            <w:pPr>
              <w:pStyle w:val="0"/>
            </w:pPr>
            <w:r>
              <w:rPr>
                <w:sz w:val="20"/>
              </w:rPr>
              <w:t xml:space="preserve">%</w:t>
            </w:r>
          </w:p>
        </w:tc>
        <w:tc>
          <w:tcPr>
            <w:tcW w:w="1077" w:type="dxa"/>
          </w:tcPr>
          <w:p>
            <w:pPr>
              <w:pStyle w:val="0"/>
              <w:jc w:val="center"/>
            </w:pPr>
            <w:r>
              <w:rPr>
                <w:sz w:val="20"/>
              </w:rPr>
              <w:t xml:space="preserve">20</w:t>
            </w:r>
          </w:p>
        </w:tc>
        <w:tc>
          <w:tcPr>
            <w:tcW w:w="1077" w:type="dxa"/>
          </w:tcPr>
          <w:p>
            <w:pPr>
              <w:pStyle w:val="0"/>
              <w:jc w:val="center"/>
            </w:pPr>
            <w:r>
              <w:rPr>
                <w:sz w:val="20"/>
              </w:rPr>
              <w:t xml:space="preserve">25</w:t>
            </w:r>
          </w:p>
        </w:tc>
        <w:tc>
          <w:tcPr>
            <w:tcW w:w="1077" w:type="dxa"/>
          </w:tcPr>
          <w:p>
            <w:pPr>
              <w:pStyle w:val="0"/>
              <w:jc w:val="center"/>
            </w:pPr>
            <w:r>
              <w:rPr>
                <w:sz w:val="20"/>
              </w:rPr>
              <w:t xml:space="preserve">30</w:t>
            </w:r>
          </w:p>
        </w:tc>
      </w:tr>
      <w:tr>
        <w:tc>
          <w:tcPr>
            <w:tcW w:w="624" w:type="dxa"/>
            <w:vMerge w:val="restart"/>
          </w:tcPr>
          <w:p>
            <w:pPr>
              <w:pStyle w:val="0"/>
              <w:jc w:val="center"/>
            </w:pPr>
            <w:r>
              <w:rPr>
                <w:sz w:val="20"/>
              </w:rPr>
              <w:t xml:space="preserve">54.</w:t>
            </w:r>
          </w:p>
        </w:tc>
        <w:tc>
          <w:tcPr>
            <w:tcW w:w="2608" w:type="dxa"/>
            <w:vMerge w:val="restart"/>
          </w:tcPr>
          <w:p>
            <w:pPr>
              <w:pStyle w:val="0"/>
            </w:pPr>
            <w:r>
              <w:rPr>
                <w:sz w:val="20"/>
              </w:rPr>
              <w:t xml:space="preserve">Обеспечение устойчивого сокращения непригодного для проживания жилищного фонда за счет средств государственной корпорации - Фонда содействия реформированию ЖКХ</w:t>
            </w:r>
          </w:p>
        </w:tc>
        <w:tc>
          <w:tcPr>
            <w:tcW w:w="1644" w:type="dxa"/>
            <w:vMerge w:val="restart"/>
          </w:tcPr>
          <w:p>
            <w:pPr>
              <w:pStyle w:val="0"/>
            </w:pPr>
            <w:r>
              <w:rPr>
                <w:sz w:val="20"/>
              </w:rPr>
              <w:t xml:space="preserve">Областная адресная программа "Обеспечение устойчивого сокращения непригодного для проживания жилищного фонда Владимирской области"</w:t>
            </w:r>
          </w:p>
        </w:tc>
        <w:tc>
          <w:tcPr>
            <w:tcW w:w="1247" w:type="dxa"/>
            <w:vMerge w:val="restart"/>
          </w:tcPr>
          <w:p>
            <w:pPr>
              <w:pStyle w:val="0"/>
            </w:pPr>
            <w:r>
              <w:rPr>
                <w:sz w:val="20"/>
              </w:rPr>
              <w:t xml:space="preserve">Департамент жилищно-коммунального хозяйства Владимирской области</w:t>
            </w:r>
          </w:p>
        </w:tc>
        <w:tc>
          <w:tcPr>
            <w:tcW w:w="3515" w:type="dxa"/>
          </w:tcPr>
          <w:p>
            <w:pPr>
              <w:pStyle w:val="0"/>
            </w:pPr>
            <w:r>
              <w:rPr>
                <w:sz w:val="20"/>
              </w:rPr>
              <w:t xml:space="preserve">Площадь расселяемого аварийного жилищного фонда</w:t>
            </w:r>
          </w:p>
        </w:tc>
        <w:tc>
          <w:tcPr>
            <w:tcW w:w="737" w:type="dxa"/>
          </w:tcPr>
          <w:p>
            <w:pPr>
              <w:pStyle w:val="0"/>
            </w:pPr>
            <w:r>
              <w:rPr>
                <w:sz w:val="20"/>
              </w:rPr>
              <w:t xml:space="preserve">тыс. кв. м</w:t>
            </w:r>
          </w:p>
        </w:tc>
        <w:tc>
          <w:tcPr>
            <w:tcW w:w="1077" w:type="dxa"/>
          </w:tcPr>
          <w:p>
            <w:pPr>
              <w:pStyle w:val="0"/>
              <w:jc w:val="center"/>
            </w:pPr>
            <w:r>
              <w:rPr>
                <w:sz w:val="20"/>
              </w:rPr>
              <w:t xml:space="preserve">12,81</w:t>
            </w:r>
          </w:p>
        </w:tc>
        <w:tc>
          <w:tcPr>
            <w:tcW w:w="1077" w:type="dxa"/>
          </w:tcPr>
          <w:p>
            <w:pPr>
              <w:pStyle w:val="0"/>
              <w:jc w:val="center"/>
            </w:pPr>
            <w:r>
              <w:rPr>
                <w:sz w:val="20"/>
              </w:rPr>
              <w:t xml:space="preserve">15,66</w:t>
            </w:r>
          </w:p>
        </w:tc>
        <w:tc>
          <w:tcPr>
            <w:tcW w:w="1077" w:type="dxa"/>
          </w:tcPr>
          <w:p>
            <w:pPr>
              <w:pStyle w:val="0"/>
              <w:jc w:val="center"/>
            </w:pPr>
            <w:r>
              <w:rPr>
                <w:sz w:val="20"/>
              </w:rPr>
              <w:t xml:space="preserve">40,85</w:t>
            </w:r>
          </w:p>
        </w:tc>
      </w:tr>
      <w:tr>
        <w:tc>
          <w:tcPr>
            <w:vMerge w:val="continue"/>
          </w:tcPr>
          <w:p/>
        </w:tc>
        <w:tc>
          <w:tcPr>
            <w:vMerge w:val="continue"/>
          </w:tcPr>
          <w:p/>
        </w:tc>
        <w:tc>
          <w:tcPr>
            <w:vMerge w:val="continue"/>
          </w:tcPr>
          <w:p/>
        </w:tc>
        <w:tc>
          <w:tcPr>
            <w:vMerge w:val="continue"/>
          </w:tcPr>
          <w:p/>
        </w:tc>
        <w:tc>
          <w:tcPr>
            <w:tcW w:w="3515" w:type="dxa"/>
          </w:tcPr>
          <w:p>
            <w:pPr>
              <w:pStyle w:val="0"/>
            </w:pPr>
            <w:r>
              <w:rPr>
                <w:sz w:val="20"/>
              </w:rPr>
              <w:t xml:space="preserve">Количество граждан, проживающих в аварийном жилищном фонде</w:t>
            </w:r>
          </w:p>
        </w:tc>
        <w:tc>
          <w:tcPr>
            <w:tcW w:w="737" w:type="dxa"/>
          </w:tcPr>
          <w:p>
            <w:pPr>
              <w:pStyle w:val="0"/>
            </w:pPr>
            <w:r>
              <w:rPr>
                <w:sz w:val="20"/>
              </w:rPr>
              <w:t xml:space="preserve">чел.</w:t>
            </w:r>
          </w:p>
        </w:tc>
        <w:tc>
          <w:tcPr>
            <w:tcW w:w="1077" w:type="dxa"/>
          </w:tcPr>
          <w:p>
            <w:pPr>
              <w:pStyle w:val="0"/>
              <w:jc w:val="center"/>
            </w:pPr>
            <w:r>
              <w:rPr>
                <w:sz w:val="20"/>
              </w:rPr>
              <w:t xml:space="preserve">710</w:t>
            </w:r>
          </w:p>
        </w:tc>
        <w:tc>
          <w:tcPr>
            <w:tcW w:w="1077" w:type="dxa"/>
          </w:tcPr>
          <w:p>
            <w:pPr>
              <w:pStyle w:val="0"/>
              <w:jc w:val="center"/>
            </w:pPr>
            <w:r>
              <w:rPr>
                <w:sz w:val="20"/>
              </w:rPr>
              <w:t xml:space="preserve">870</w:t>
            </w:r>
          </w:p>
        </w:tc>
        <w:tc>
          <w:tcPr>
            <w:tcW w:w="1077" w:type="dxa"/>
          </w:tcPr>
          <w:p>
            <w:pPr>
              <w:pStyle w:val="0"/>
              <w:jc w:val="center"/>
            </w:pPr>
            <w:r>
              <w:rPr>
                <w:sz w:val="20"/>
              </w:rPr>
              <w:t xml:space="preserve">2270</w:t>
            </w:r>
          </w:p>
        </w:tc>
      </w:tr>
      <w:tr>
        <w:tc>
          <w:tcPr>
            <w:vMerge w:val="continue"/>
          </w:tcPr>
          <w:p/>
        </w:tc>
        <w:tc>
          <w:tcPr>
            <w:tcW w:w="2608" w:type="dxa"/>
            <w:vMerge w:val="restart"/>
          </w:tcPr>
          <w:p>
            <w:pPr>
              <w:pStyle w:val="0"/>
            </w:pPr>
            <w:r>
              <w:rPr>
                <w:sz w:val="20"/>
              </w:rPr>
              <w:t xml:space="preserve">Обеспечение проживающих в аварийном жилищном фонде граждан жилыми помещениями</w:t>
            </w:r>
          </w:p>
        </w:tc>
        <w:tc>
          <w:tcPr>
            <w:tcW w:w="1644" w:type="dxa"/>
            <w:vMerge w:val="restart"/>
          </w:tcPr>
          <w:p>
            <w:pPr>
              <w:pStyle w:val="0"/>
            </w:pPr>
            <w:r>
              <w:rPr>
                <w:sz w:val="20"/>
              </w:rPr>
              <w:t xml:space="preserve">Областная адресная программа "Обеспечение устойчивого сокращения непригодного для проживания жилищного фонда Владимирской области"</w:t>
            </w:r>
          </w:p>
        </w:tc>
        <w:tc>
          <w:tcPr>
            <w:tcW w:w="1247" w:type="dxa"/>
            <w:vMerge w:val="restart"/>
          </w:tcPr>
          <w:p>
            <w:pPr>
              <w:pStyle w:val="0"/>
            </w:pPr>
            <w:r>
              <w:rPr>
                <w:sz w:val="20"/>
              </w:rPr>
              <w:t xml:space="preserve">Департамент жилищно-коммунального хозяйства Владимирской области</w:t>
            </w:r>
          </w:p>
        </w:tc>
        <w:tc>
          <w:tcPr>
            <w:tcW w:w="3515" w:type="dxa"/>
          </w:tcPr>
          <w:p>
            <w:pPr>
              <w:pStyle w:val="0"/>
            </w:pPr>
            <w:r>
              <w:rPr>
                <w:sz w:val="20"/>
              </w:rPr>
              <w:t xml:space="preserve">Площадь расселяемого аварийного жилищного фонда</w:t>
            </w:r>
          </w:p>
        </w:tc>
        <w:tc>
          <w:tcPr>
            <w:tcW w:w="737" w:type="dxa"/>
          </w:tcPr>
          <w:p>
            <w:pPr>
              <w:pStyle w:val="0"/>
            </w:pPr>
            <w:r>
              <w:rPr>
                <w:sz w:val="20"/>
              </w:rPr>
              <w:t xml:space="preserve">тыс. кв. м</w:t>
            </w:r>
          </w:p>
        </w:tc>
        <w:tc>
          <w:tcPr>
            <w:tcW w:w="1077" w:type="dxa"/>
          </w:tcPr>
          <w:p>
            <w:pPr>
              <w:pStyle w:val="0"/>
              <w:jc w:val="center"/>
            </w:pPr>
            <w:r>
              <w:rPr>
                <w:sz w:val="20"/>
              </w:rPr>
              <w:t xml:space="preserve">4,5</w:t>
            </w:r>
          </w:p>
        </w:tc>
        <w:tc>
          <w:tcPr>
            <w:tcW w:w="1077" w:type="dxa"/>
          </w:tcPr>
          <w:p>
            <w:pPr>
              <w:pStyle w:val="0"/>
              <w:jc w:val="center"/>
            </w:pPr>
            <w:r>
              <w:rPr>
                <w:sz w:val="20"/>
              </w:rPr>
              <w:t xml:space="preserve">4,5</w:t>
            </w:r>
          </w:p>
        </w:tc>
        <w:tc>
          <w:tcPr>
            <w:tcW w:w="1077" w:type="dxa"/>
          </w:tcPr>
          <w:p>
            <w:pPr>
              <w:pStyle w:val="0"/>
              <w:jc w:val="center"/>
            </w:pPr>
            <w:r>
              <w:rPr>
                <w:sz w:val="20"/>
              </w:rPr>
              <w:t xml:space="preserve">4,5</w:t>
            </w:r>
          </w:p>
        </w:tc>
      </w:tr>
      <w:tr>
        <w:tc>
          <w:tcPr>
            <w:vMerge w:val="continue"/>
          </w:tcPr>
          <w:p/>
        </w:tc>
        <w:tc>
          <w:tcPr>
            <w:vMerge w:val="continue"/>
          </w:tcPr>
          <w:p/>
        </w:tc>
        <w:tc>
          <w:tcPr>
            <w:vMerge w:val="continue"/>
          </w:tcPr>
          <w:p/>
        </w:tc>
        <w:tc>
          <w:tcPr>
            <w:vMerge w:val="continue"/>
          </w:tcPr>
          <w:p/>
        </w:tc>
        <w:tc>
          <w:tcPr>
            <w:tcW w:w="3515" w:type="dxa"/>
          </w:tcPr>
          <w:p>
            <w:pPr>
              <w:pStyle w:val="0"/>
            </w:pPr>
            <w:r>
              <w:rPr>
                <w:sz w:val="20"/>
              </w:rPr>
              <w:t xml:space="preserve">Количество граждан, проживающих в аварийном жилищном фонде</w:t>
            </w:r>
          </w:p>
        </w:tc>
        <w:tc>
          <w:tcPr>
            <w:tcW w:w="737" w:type="dxa"/>
          </w:tcPr>
          <w:p>
            <w:pPr>
              <w:pStyle w:val="0"/>
            </w:pPr>
            <w:r>
              <w:rPr>
                <w:sz w:val="20"/>
              </w:rPr>
              <w:t xml:space="preserve">чел.</w:t>
            </w:r>
          </w:p>
        </w:tc>
        <w:tc>
          <w:tcPr>
            <w:tcW w:w="1077" w:type="dxa"/>
          </w:tcPr>
          <w:p>
            <w:pPr>
              <w:pStyle w:val="0"/>
              <w:jc w:val="center"/>
            </w:pPr>
            <w:r>
              <w:rPr>
                <w:sz w:val="20"/>
              </w:rPr>
              <w:t xml:space="preserve">220</w:t>
            </w:r>
          </w:p>
        </w:tc>
        <w:tc>
          <w:tcPr>
            <w:tcW w:w="1077" w:type="dxa"/>
          </w:tcPr>
          <w:p>
            <w:pPr>
              <w:pStyle w:val="0"/>
              <w:jc w:val="center"/>
            </w:pPr>
            <w:r>
              <w:rPr>
                <w:sz w:val="20"/>
              </w:rPr>
              <w:t xml:space="preserve">220</w:t>
            </w:r>
          </w:p>
        </w:tc>
        <w:tc>
          <w:tcPr>
            <w:tcW w:w="1077" w:type="dxa"/>
          </w:tcPr>
          <w:p>
            <w:pPr>
              <w:pStyle w:val="0"/>
              <w:jc w:val="center"/>
            </w:pPr>
            <w:r>
              <w:rPr>
                <w:sz w:val="20"/>
              </w:rPr>
              <w:t xml:space="preserve">220</w:t>
            </w:r>
          </w:p>
        </w:tc>
      </w:tr>
      <w:tr>
        <w:tc>
          <w:tcPr>
            <w:tcW w:w="624" w:type="dxa"/>
            <w:vMerge w:val="restart"/>
          </w:tcPr>
          <w:p>
            <w:pPr>
              <w:pStyle w:val="0"/>
              <w:jc w:val="center"/>
            </w:pPr>
            <w:r>
              <w:rPr>
                <w:sz w:val="20"/>
              </w:rPr>
              <w:t xml:space="preserve">55.</w:t>
            </w:r>
          </w:p>
        </w:tc>
        <w:tc>
          <w:tcPr>
            <w:tcW w:w="2608" w:type="dxa"/>
            <w:vMerge w:val="restart"/>
          </w:tcPr>
          <w:p>
            <w:pPr>
              <w:pStyle w:val="0"/>
            </w:pPr>
            <w:r>
              <w:rPr>
                <w:sz w:val="20"/>
              </w:rPr>
              <w:t xml:space="preserve">Строительство и реконструкция (модернизация) объектов питьевого водоснабжения</w:t>
            </w:r>
          </w:p>
        </w:tc>
        <w:tc>
          <w:tcPr>
            <w:tcW w:w="1644" w:type="dxa"/>
            <w:vMerge w:val="restart"/>
          </w:tcPr>
          <w:p>
            <w:pPr>
              <w:pStyle w:val="0"/>
            </w:pPr>
            <w:r>
              <w:rPr>
                <w:sz w:val="20"/>
              </w:rPr>
              <w:t xml:space="preserve">Государственная программа "Модернизация объектов коммунальной инфраструктуры во Владимирской области"</w:t>
            </w:r>
          </w:p>
        </w:tc>
        <w:tc>
          <w:tcPr>
            <w:tcW w:w="1247" w:type="dxa"/>
            <w:vMerge w:val="restart"/>
          </w:tcPr>
          <w:p>
            <w:pPr>
              <w:pStyle w:val="0"/>
            </w:pPr>
            <w:r>
              <w:rPr>
                <w:sz w:val="20"/>
              </w:rPr>
              <w:t xml:space="preserve">Департамент жилищно-коммунального хозяйства Владимирской области</w:t>
            </w:r>
          </w:p>
        </w:tc>
        <w:tc>
          <w:tcPr>
            <w:tcW w:w="3515" w:type="dxa"/>
          </w:tcPr>
          <w:p>
            <w:pPr>
              <w:pStyle w:val="0"/>
            </w:pPr>
            <w:r>
              <w:rPr>
                <w:sz w:val="20"/>
              </w:rPr>
              <w:t xml:space="preserve">Доля населения Владимирской области, обеспеченного качественной питьевой водой из систем централизованного водоснабжения</w:t>
            </w:r>
          </w:p>
        </w:tc>
        <w:tc>
          <w:tcPr>
            <w:tcW w:w="737" w:type="dxa"/>
          </w:tcPr>
          <w:p>
            <w:pPr>
              <w:pStyle w:val="0"/>
            </w:pPr>
            <w:r>
              <w:rPr>
                <w:sz w:val="20"/>
              </w:rPr>
              <w:t xml:space="preserve">%</w:t>
            </w:r>
          </w:p>
        </w:tc>
        <w:tc>
          <w:tcPr>
            <w:tcW w:w="1077" w:type="dxa"/>
          </w:tcPr>
          <w:p>
            <w:pPr>
              <w:pStyle w:val="0"/>
              <w:jc w:val="center"/>
            </w:pPr>
            <w:r>
              <w:rPr>
                <w:sz w:val="20"/>
              </w:rPr>
              <w:t xml:space="preserve">90,3</w:t>
            </w:r>
          </w:p>
        </w:tc>
        <w:tc>
          <w:tcPr>
            <w:tcW w:w="1077" w:type="dxa"/>
          </w:tcPr>
          <w:p>
            <w:pPr>
              <w:pStyle w:val="0"/>
              <w:jc w:val="center"/>
            </w:pPr>
            <w:r>
              <w:rPr>
                <w:sz w:val="20"/>
              </w:rPr>
              <w:t xml:space="preserve">91,7</w:t>
            </w:r>
          </w:p>
        </w:tc>
        <w:tc>
          <w:tcPr>
            <w:tcW w:w="1077" w:type="dxa"/>
          </w:tcPr>
          <w:p>
            <w:pPr>
              <w:pStyle w:val="0"/>
              <w:jc w:val="center"/>
            </w:pPr>
            <w:r>
              <w:rPr>
                <w:sz w:val="20"/>
              </w:rPr>
              <w:t xml:space="preserve">94,5</w:t>
            </w:r>
          </w:p>
        </w:tc>
      </w:tr>
      <w:tr>
        <w:tc>
          <w:tcPr>
            <w:vMerge w:val="continue"/>
          </w:tcPr>
          <w:p/>
        </w:tc>
        <w:tc>
          <w:tcPr>
            <w:vMerge w:val="continue"/>
          </w:tcPr>
          <w:p/>
        </w:tc>
        <w:tc>
          <w:tcPr>
            <w:vMerge w:val="continue"/>
          </w:tcPr>
          <w:p/>
        </w:tc>
        <w:tc>
          <w:tcPr>
            <w:vMerge w:val="continue"/>
          </w:tcPr>
          <w:p/>
        </w:tc>
        <w:tc>
          <w:tcPr>
            <w:tcW w:w="3515" w:type="dxa"/>
          </w:tcPr>
          <w:p>
            <w:pPr>
              <w:pStyle w:val="0"/>
            </w:pPr>
            <w:r>
              <w:rPr>
                <w:sz w:val="20"/>
              </w:rPr>
              <w:t xml:space="preserve">Доля городского населения Владимирской области, обеспеченного качественной питьевой водой из систем централизованного водоснабжения</w:t>
            </w:r>
          </w:p>
        </w:tc>
        <w:tc>
          <w:tcPr>
            <w:tcW w:w="737" w:type="dxa"/>
          </w:tcPr>
          <w:p>
            <w:pPr>
              <w:pStyle w:val="0"/>
            </w:pPr>
            <w:r>
              <w:rPr>
                <w:sz w:val="20"/>
              </w:rPr>
              <w:t xml:space="preserve">%</w:t>
            </w:r>
          </w:p>
        </w:tc>
        <w:tc>
          <w:tcPr>
            <w:tcW w:w="1077" w:type="dxa"/>
          </w:tcPr>
          <w:p>
            <w:pPr>
              <w:pStyle w:val="0"/>
              <w:jc w:val="center"/>
            </w:pPr>
            <w:r>
              <w:rPr>
                <w:sz w:val="20"/>
              </w:rPr>
              <w:t xml:space="preserve">99,0</w:t>
            </w:r>
          </w:p>
        </w:tc>
        <w:tc>
          <w:tcPr>
            <w:tcW w:w="1077" w:type="dxa"/>
          </w:tcPr>
          <w:p>
            <w:pPr>
              <w:pStyle w:val="0"/>
              <w:jc w:val="center"/>
            </w:pPr>
            <w:r>
              <w:rPr>
                <w:sz w:val="20"/>
              </w:rPr>
              <w:t xml:space="preserve">100,0</w:t>
            </w:r>
          </w:p>
        </w:tc>
        <w:tc>
          <w:tcPr>
            <w:tcW w:w="1077" w:type="dxa"/>
          </w:tcPr>
          <w:p>
            <w:pPr>
              <w:pStyle w:val="0"/>
              <w:jc w:val="center"/>
            </w:pPr>
            <w:r>
              <w:rPr>
                <w:sz w:val="20"/>
              </w:rPr>
              <w:t xml:space="preserve">100,0</w:t>
            </w:r>
          </w:p>
        </w:tc>
      </w:tr>
      <w:tr>
        <w:tc>
          <w:tcPr>
            <w:vMerge w:val="continue"/>
          </w:tcPr>
          <w:p/>
        </w:tc>
        <w:tc>
          <w:tcPr>
            <w:vMerge w:val="continue"/>
          </w:tcPr>
          <w:p/>
        </w:tc>
        <w:tc>
          <w:tcPr>
            <w:vMerge w:val="continue"/>
          </w:tcPr>
          <w:p/>
        </w:tc>
        <w:tc>
          <w:tcPr>
            <w:vMerge w:val="continue"/>
          </w:tcPr>
          <w:p/>
        </w:tc>
        <w:tc>
          <w:tcPr>
            <w:tcW w:w="3515" w:type="dxa"/>
          </w:tcPr>
          <w:p>
            <w:pPr>
              <w:pStyle w:val="0"/>
            </w:pPr>
            <w:r>
              <w:rPr>
                <w:sz w:val="20"/>
              </w:rPr>
              <w:t xml:space="preserve">Строительство и реконструкция крупных объектов (нарастающим итогом)</w:t>
            </w:r>
          </w:p>
        </w:tc>
        <w:tc>
          <w:tcPr>
            <w:tcW w:w="737" w:type="dxa"/>
          </w:tcPr>
          <w:p>
            <w:pPr>
              <w:pStyle w:val="0"/>
            </w:pPr>
            <w:r>
              <w:rPr>
                <w:sz w:val="20"/>
              </w:rPr>
              <w:t xml:space="preserve">шт.</w:t>
            </w:r>
          </w:p>
        </w:tc>
        <w:tc>
          <w:tcPr>
            <w:tcW w:w="1077" w:type="dxa"/>
          </w:tcPr>
          <w:p>
            <w:pPr>
              <w:pStyle w:val="0"/>
              <w:jc w:val="center"/>
            </w:pPr>
            <w:r>
              <w:rPr>
                <w:sz w:val="20"/>
              </w:rPr>
              <w:t xml:space="preserve">7</w:t>
            </w:r>
          </w:p>
        </w:tc>
        <w:tc>
          <w:tcPr>
            <w:tcW w:w="1077" w:type="dxa"/>
          </w:tcPr>
          <w:p>
            <w:pPr>
              <w:pStyle w:val="0"/>
              <w:jc w:val="center"/>
            </w:pPr>
            <w:r>
              <w:rPr>
                <w:sz w:val="20"/>
              </w:rPr>
              <w:t xml:space="preserve">9</w:t>
            </w:r>
          </w:p>
        </w:tc>
        <w:tc>
          <w:tcPr>
            <w:tcW w:w="1077" w:type="dxa"/>
          </w:tcPr>
          <w:p>
            <w:pPr>
              <w:pStyle w:val="0"/>
              <w:jc w:val="center"/>
            </w:pPr>
            <w:r>
              <w:rPr>
                <w:sz w:val="20"/>
              </w:rPr>
              <w:t xml:space="preserve">11</w:t>
            </w:r>
          </w:p>
        </w:tc>
      </w:tr>
      <w:tr>
        <w:tc>
          <w:tcPr>
            <w:tcW w:w="624" w:type="dxa"/>
            <w:vMerge w:val="restart"/>
          </w:tcPr>
          <w:p>
            <w:pPr>
              <w:pStyle w:val="0"/>
              <w:jc w:val="center"/>
            </w:pPr>
            <w:r>
              <w:rPr>
                <w:sz w:val="20"/>
              </w:rPr>
              <w:t xml:space="preserve">56.</w:t>
            </w:r>
          </w:p>
        </w:tc>
        <w:tc>
          <w:tcPr>
            <w:tcW w:w="2608" w:type="dxa"/>
            <w:vMerge w:val="restart"/>
          </w:tcPr>
          <w:p>
            <w:pPr>
              <w:pStyle w:val="0"/>
            </w:pPr>
            <w:r>
              <w:rPr>
                <w:sz w:val="20"/>
              </w:rPr>
              <w:t xml:space="preserve">Строительство, реконструкция и модернизация систем (объектов) теплоснабжения, водоснабжения, водоотведения и очистки сточных вод и обеспечение бесперебойного предоставления коммунальных услуг</w:t>
            </w:r>
          </w:p>
        </w:tc>
        <w:tc>
          <w:tcPr>
            <w:tcW w:w="1644" w:type="dxa"/>
            <w:vMerge w:val="restart"/>
          </w:tcPr>
          <w:p>
            <w:pPr>
              <w:pStyle w:val="0"/>
            </w:pPr>
            <w:r>
              <w:rPr>
                <w:sz w:val="20"/>
              </w:rPr>
              <w:t xml:space="preserve">Государственная программа "Модернизация объектов коммунальной инфраструктуры во Владимирской области"</w:t>
            </w:r>
          </w:p>
        </w:tc>
        <w:tc>
          <w:tcPr>
            <w:tcW w:w="1247" w:type="dxa"/>
            <w:vMerge w:val="restart"/>
          </w:tcPr>
          <w:p>
            <w:pPr>
              <w:pStyle w:val="0"/>
            </w:pPr>
            <w:r>
              <w:rPr>
                <w:sz w:val="20"/>
              </w:rPr>
              <w:t xml:space="preserve">Департамент жилищно-коммунального хозяйства Владимирской области</w:t>
            </w:r>
          </w:p>
        </w:tc>
        <w:tc>
          <w:tcPr>
            <w:tcW w:w="3515" w:type="dxa"/>
          </w:tcPr>
          <w:p>
            <w:pPr>
              <w:pStyle w:val="0"/>
            </w:pPr>
            <w:r>
              <w:rPr>
                <w:sz w:val="20"/>
              </w:rPr>
              <w:t xml:space="preserve">Снижение доли уличной водопроводной сети, нуждающейся в замене</w:t>
            </w:r>
          </w:p>
        </w:tc>
        <w:tc>
          <w:tcPr>
            <w:tcW w:w="737" w:type="dxa"/>
          </w:tcPr>
          <w:p>
            <w:pPr>
              <w:pStyle w:val="0"/>
            </w:pPr>
            <w:r>
              <w:rPr>
                <w:sz w:val="20"/>
              </w:rPr>
              <w:t xml:space="preserve">%</w:t>
            </w:r>
          </w:p>
        </w:tc>
        <w:tc>
          <w:tcPr>
            <w:tcW w:w="1077" w:type="dxa"/>
          </w:tcPr>
          <w:p>
            <w:pPr>
              <w:pStyle w:val="0"/>
              <w:jc w:val="center"/>
            </w:pPr>
            <w:r>
              <w:rPr>
                <w:sz w:val="20"/>
              </w:rPr>
              <w:t xml:space="preserve">1</w:t>
            </w:r>
          </w:p>
        </w:tc>
        <w:tc>
          <w:tcPr>
            <w:tcW w:w="1077" w:type="dxa"/>
          </w:tcPr>
          <w:p>
            <w:pPr>
              <w:pStyle w:val="0"/>
              <w:jc w:val="center"/>
            </w:pPr>
            <w:r>
              <w:rPr>
                <w:sz w:val="20"/>
              </w:rPr>
              <w:t xml:space="preserve">1</w:t>
            </w:r>
          </w:p>
        </w:tc>
        <w:tc>
          <w:tcPr>
            <w:tcW w:w="1077" w:type="dxa"/>
          </w:tcPr>
          <w:p>
            <w:pPr>
              <w:pStyle w:val="0"/>
              <w:jc w:val="center"/>
            </w:pPr>
            <w:r>
              <w:rPr>
                <w:sz w:val="20"/>
              </w:rPr>
              <w:t xml:space="preserve">1</w:t>
            </w:r>
          </w:p>
        </w:tc>
      </w:tr>
      <w:tr>
        <w:tc>
          <w:tcPr>
            <w:vMerge w:val="continue"/>
          </w:tcPr>
          <w:p/>
        </w:tc>
        <w:tc>
          <w:tcPr>
            <w:vMerge w:val="continue"/>
          </w:tcPr>
          <w:p/>
        </w:tc>
        <w:tc>
          <w:tcPr>
            <w:vMerge w:val="continue"/>
          </w:tcPr>
          <w:p/>
        </w:tc>
        <w:tc>
          <w:tcPr>
            <w:vMerge w:val="continue"/>
          </w:tcPr>
          <w:p/>
        </w:tc>
        <w:tc>
          <w:tcPr>
            <w:tcW w:w="3515" w:type="dxa"/>
          </w:tcPr>
          <w:p>
            <w:pPr>
              <w:pStyle w:val="0"/>
            </w:pPr>
            <w:r>
              <w:rPr>
                <w:sz w:val="20"/>
              </w:rPr>
              <w:t xml:space="preserve">Снижение доли уличной канализационной сети, нуждающейся в замене</w:t>
            </w:r>
          </w:p>
        </w:tc>
        <w:tc>
          <w:tcPr>
            <w:tcW w:w="737" w:type="dxa"/>
          </w:tcPr>
          <w:p>
            <w:pPr>
              <w:pStyle w:val="0"/>
            </w:pPr>
            <w:r>
              <w:rPr>
                <w:sz w:val="20"/>
              </w:rPr>
              <w:t xml:space="preserve">%</w:t>
            </w:r>
          </w:p>
        </w:tc>
        <w:tc>
          <w:tcPr>
            <w:tcW w:w="1077" w:type="dxa"/>
          </w:tcPr>
          <w:p>
            <w:pPr>
              <w:pStyle w:val="0"/>
              <w:jc w:val="center"/>
            </w:pPr>
            <w:r>
              <w:rPr>
                <w:sz w:val="20"/>
              </w:rPr>
              <w:t xml:space="preserve">1</w:t>
            </w:r>
          </w:p>
        </w:tc>
        <w:tc>
          <w:tcPr>
            <w:tcW w:w="1077" w:type="dxa"/>
          </w:tcPr>
          <w:p>
            <w:pPr>
              <w:pStyle w:val="0"/>
              <w:jc w:val="center"/>
            </w:pPr>
            <w:r>
              <w:rPr>
                <w:sz w:val="20"/>
              </w:rPr>
              <w:t xml:space="preserve">1</w:t>
            </w:r>
          </w:p>
        </w:tc>
        <w:tc>
          <w:tcPr>
            <w:tcW w:w="1077" w:type="dxa"/>
          </w:tcPr>
          <w:p>
            <w:pPr>
              <w:pStyle w:val="0"/>
              <w:jc w:val="center"/>
            </w:pPr>
            <w:r>
              <w:rPr>
                <w:sz w:val="20"/>
              </w:rPr>
              <w:t xml:space="preserve">1</w:t>
            </w:r>
          </w:p>
        </w:tc>
      </w:tr>
      <w:tr>
        <w:tc>
          <w:tcPr>
            <w:vMerge w:val="continue"/>
          </w:tcPr>
          <w:p/>
        </w:tc>
        <w:tc>
          <w:tcPr>
            <w:vMerge w:val="continue"/>
          </w:tcPr>
          <w:p/>
        </w:tc>
        <w:tc>
          <w:tcPr>
            <w:vMerge w:val="continue"/>
          </w:tcPr>
          <w:p/>
        </w:tc>
        <w:tc>
          <w:tcPr>
            <w:vMerge w:val="continue"/>
          </w:tcPr>
          <w:p/>
        </w:tc>
        <w:tc>
          <w:tcPr>
            <w:tcW w:w="3515" w:type="dxa"/>
          </w:tcPr>
          <w:p>
            <w:pPr>
              <w:pStyle w:val="0"/>
            </w:pPr>
            <w:r>
              <w:rPr>
                <w:sz w:val="20"/>
              </w:rPr>
              <w:t xml:space="preserve">Снижение доли тепловых сетей, нуждающихся в замене</w:t>
            </w:r>
          </w:p>
        </w:tc>
        <w:tc>
          <w:tcPr>
            <w:tcW w:w="737" w:type="dxa"/>
          </w:tcPr>
          <w:p>
            <w:pPr>
              <w:pStyle w:val="0"/>
            </w:pPr>
            <w:r>
              <w:rPr>
                <w:sz w:val="20"/>
              </w:rPr>
              <w:t xml:space="preserve">%</w:t>
            </w:r>
          </w:p>
        </w:tc>
        <w:tc>
          <w:tcPr>
            <w:tcW w:w="1077" w:type="dxa"/>
          </w:tcPr>
          <w:p>
            <w:pPr>
              <w:pStyle w:val="0"/>
              <w:jc w:val="center"/>
            </w:pPr>
            <w:r>
              <w:rPr>
                <w:sz w:val="20"/>
              </w:rPr>
              <w:t xml:space="preserve">0,3</w:t>
            </w:r>
          </w:p>
        </w:tc>
        <w:tc>
          <w:tcPr>
            <w:tcW w:w="1077" w:type="dxa"/>
          </w:tcPr>
          <w:p>
            <w:pPr>
              <w:pStyle w:val="0"/>
              <w:jc w:val="center"/>
            </w:pPr>
            <w:r>
              <w:rPr>
                <w:sz w:val="20"/>
              </w:rPr>
              <w:t xml:space="preserve">0,3</w:t>
            </w:r>
          </w:p>
        </w:tc>
        <w:tc>
          <w:tcPr>
            <w:tcW w:w="1077" w:type="dxa"/>
          </w:tcPr>
          <w:p>
            <w:pPr>
              <w:pStyle w:val="0"/>
              <w:jc w:val="center"/>
            </w:pPr>
            <w:r>
              <w:rPr>
                <w:sz w:val="20"/>
              </w:rPr>
              <w:t xml:space="preserve">0,3</w:t>
            </w:r>
          </w:p>
        </w:tc>
      </w:tr>
      <w:tr>
        <w:tc>
          <w:tcPr>
            <w:vMerge w:val="continue"/>
          </w:tcPr>
          <w:p/>
        </w:tc>
        <w:tc>
          <w:tcPr>
            <w:vMerge w:val="continue"/>
          </w:tcPr>
          <w:p/>
        </w:tc>
        <w:tc>
          <w:tcPr>
            <w:vMerge w:val="continue"/>
          </w:tcPr>
          <w:p/>
        </w:tc>
        <w:tc>
          <w:tcPr>
            <w:vMerge w:val="continue"/>
          </w:tcPr>
          <w:p/>
        </w:tc>
        <w:tc>
          <w:tcPr>
            <w:tcW w:w="3515" w:type="dxa"/>
          </w:tcPr>
          <w:p>
            <w:pPr>
              <w:pStyle w:val="0"/>
            </w:pPr>
            <w:r>
              <w:rPr>
                <w:sz w:val="20"/>
              </w:rPr>
              <w:t xml:space="preserve">Сокращение износа коммунальной инфраструктуры</w:t>
            </w:r>
          </w:p>
        </w:tc>
        <w:tc>
          <w:tcPr>
            <w:tcW w:w="737" w:type="dxa"/>
          </w:tcPr>
          <w:p>
            <w:pPr>
              <w:pStyle w:val="0"/>
            </w:pPr>
            <w:r>
              <w:rPr>
                <w:sz w:val="20"/>
              </w:rPr>
              <w:t xml:space="preserve">%</w:t>
            </w:r>
          </w:p>
        </w:tc>
        <w:tc>
          <w:tcPr>
            <w:tcW w:w="1077" w:type="dxa"/>
          </w:tcPr>
          <w:p>
            <w:pPr>
              <w:pStyle w:val="0"/>
              <w:jc w:val="center"/>
            </w:pPr>
            <w:r>
              <w:rPr>
                <w:sz w:val="20"/>
              </w:rPr>
              <w:t xml:space="preserve">0,5</w:t>
            </w:r>
          </w:p>
        </w:tc>
        <w:tc>
          <w:tcPr>
            <w:tcW w:w="1077" w:type="dxa"/>
          </w:tcPr>
          <w:p>
            <w:pPr>
              <w:pStyle w:val="0"/>
              <w:jc w:val="center"/>
            </w:pPr>
            <w:r>
              <w:rPr>
                <w:sz w:val="20"/>
              </w:rPr>
              <w:t xml:space="preserve">0,5</w:t>
            </w:r>
          </w:p>
        </w:tc>
        <w:tc>
          <w:tcPr>
            <w:tcW w:w="1077" w:type="dxa"/>
          </w:tcPr>
          <w:p>
            <w:pPr>
              <w:pStyle w:val="0"/>
              <w:jc w:val="center"/>
            </w:pPr>
            <w:r>
              <w:rPr>
                <w:sz w:val="20"/>
              </w:rPr>
              <w:t xml:space="preserve">0,5</w:t>
            </w:r>
          </w:p>
        </w:tc>
      </w:tr>
      <w:tr>
        <w:tc>
          <w:tcPr>
            <w:tcW w:w="624" w:type="dxa"/>
          </w:tcPr>
          <w:p>
            <w:pPr>
              <w:pStyle w:val="0"/>
              <w:jc w:val="center"/>
            </w:pPr>
            <w:r>
              <w:rPr>
                <w:sz w:val="20"/>
              </w:rPr>
              <w:t xml:space="preserve">57.</w:t>
            </w:r>
          </w:p>
        </w:tc>
        <w:tc>
          <w:tcPr>
            <w:tcW w:w="2608" w:type="dxa"/>
          </w:tcPr>
          <w:p>
            <w:pPr>
              <w:pStyle w:val="0"/>
            </w:pPr>
            <w:r>
              <w:rPr>
                <w:sz w:val="20"/>
              </w:rPr>
              <w:t xml:space="preserve">Проектирование, строительство, реконструкция автомобильных дорог общего пользования местного значения с твердым покрытием до сельских населенных пунктов, не имеющих круглогодичной связи с сетью автомобильных дорог общего пользования, а также их капитальный ремонт и ремонт</w:t>
            </w:r>
          </w:p>
        </w:tc>
        <w:tc>
          <w:tcPr>
            <w:tcW w:w="1644" w:type="dxa"/>
          </w:tcPr>
          <w:p>
            <w:pPr>
              <w:pStyle w:val="0"/>
            </w:pPr>
            <w:r>
              <w:rPr>
                <w:sz w:val="20"/>
              </w:rPr>
              <w:t xml:space="preserve">Государственная программа "Дорожное хозяйство Владимирской области на 2014 - 2025 годы"</w:t>
            </w:r>
          </w:p>
        </w:tc>
        <w:tc>
          <w:tcPr>
            <w:tcW w:w="1247" w:type="dxa"/>
          </w:tcPr>
          <w:p>
            <w:pPr>
              <w:pStyle w:val="0"/>
            </w:pPr>
            <w:r>
              <w:rPr>
                <w:sz w:val="20"/>
              </w:rPr>
              <w:t xml:space="preserve">Департамент транспорта и дорожного хозяйства Владимирской области</w:t>
            </w:r>
          </w:p>
        </w:tc>
        <w:tc>
          <w:tcPr>
            <w:tcW w:w="3515" w:type="dxa"/>
          </w:tcPr>
          <w:p>
            <w:pPr>
              <w:pStyle w:val="0"/>
            </w:pPr>
            <w:r>
              <w:rPr>
                <w:sz w:val="20"/>
              </w:rPr>
              <w:t xml:space="preserve">Прирост количества сельских населенных пунктов, обеспеченных постоянной круглогодичной связью с сетью автомобильных дорог общего пользования по дорогам местного значения с твердым покрытием, за счет ввода в эксплуатацию автомобильных дорог</w:t>
            </w:r>
          </w:p>
        </w:tc>
        <w:tc>
          <w:tcPr>
            <w:tcW w:w="737" w:type="dxa"/>
          </w:tcPr>
          <w:p>
            <w:pPr>
              <w:pStyle w:val="0"/>
            </w:pPr>
            <w:r>
              <w:rPr>
                <w:sz w:val="20"/>
              </w:rPr>
              <w:t xml:space="preserve">шт./км</w:t>
            </w:r>
          </w:p>
        </w:tc>
        <w:tc>
          <w:tcPr>
            <w:tcW w:w="1077" w:type="dxa"/>
          </w:tcPr>
          <w:p>
            <w:pPr>
              <w:pStyle w:val="0"/>
              <w:jc w:val="center"/>
            </w:pPr>
            <w:r>
              <w:rPr>
                <w:sz w:val="20"/>
              </w:rPr>
              <w:t xml:space="preserve">5/6,7</w:t>
            </w:r>
          </w:p>
        </w:tc>
        <w:tc>
          <w:tcPr>
            <w:tcW w:w="1077" w:type="dxa"/>
          </w:tcPr>
          <w:p>
            <w:pPr>
              <w:pStyle w:val="0"/>
              <w:jc w:val="center"/>
            </w:pPr>
            <w:r>
              <w:rPr>
                <w:sz w:val="20"/>
              </w:rPr>
              <w:t xml:space="preserve">2/6,7</w:t>
            </w:r>
          </w:p>
        </w:tc>
        <w:tc>
          <w:tcPr>
            <w:tcW w:w="1077" w:type="dxa"/>
          </w:tcPr>
          <w:p>
            <w:pPr>
              <w:pStyle w:val="0"/>
              <w:jc w:val="center"/>
            </w:pPr>
            <w:r>
              <w:rPr>
                <w:sz w:val="20"/>
              </w:rPr>
              <w:t xml:space="preserve">1/2,6</w:t>
            </w:r>
          </w:p>
        </w:tc>
      </w:tr>
      <w:tr>
        <w:tc>
          <w:tcPr>
            <w:tcW w:w="624" w:type="dxa"/>
          </w:tcPr>
          <w:p>
            <w:pPr>
              <w:pStyle w:val="0"/>
              <w:jc w:val="center"/>
            </w:pPr>
            <w:r>
              <w:rPr>
                <w:sz w:val="20"/>
              </w:rPr>
              <w:t xml:space="preserve">58.</w:t>
            </w:r>
          </w:p>
        </w:tc>
        <w:tc>
          <w:tcPr>
            <w:tcW w:w="2608" w:type="dxa"/>
          </w:tcPr>
          <w:p>
            <w:pPr>
              <w:pStyle w:val="0"/>
            </w:pPr>
            <w:r>
              <w:rPr>
                <w:sz w:val="20"/>
              </w:rPr>
              <w:t xml:space="preserve">Дорожная деятельность муниципальных образований</w:t>
            </w:r>
          </w:p>
        </w:tc>
        <w:tc>
          <w:tcPr>
            <w:tcW w:w="1644" w:type="dxa"/>
          </w:tcPr>
          <w:p>
            <w:pPr>
              <w:pStyle w:val="0"/>
            </w:pPr>
            <w:r>
              <w:rPr>
                <w:sz w:val="20"/>
              </w:rPr>
              <w:t xml:space="preserve">Государственная программа "Дорожное хозяйство Владимирской области на 2014 - 2025 годы"</w:t>
            </w:r>
          </w:p>
        </w:tc>
        <w:tc>
          <w:tcPr>
            <w:tcW w:w="1247" w:type="dxa"/>
          </w:tcPr>
          <w:p>
            <w:pPr>
              <w:pStyle w:val="0"/>
            </w:pPr>
            <w:r>
              <w:rPr>
                <w:sz w:val="20"/>
              </w:rPr>
              <w:t xml:space="preserve">Департамент транспорта и дорожного хозяйства Владимирской области</w:t>
            </w:r>
          </w:p>
        </w:tc>
        <w:tc>
          <w:tcPr>
            <w:tcW w:w="3515" w:type="dxa"/>
          </w:tcPr>
          <w:p>
            <w:pPr>
              <w:pStyle w:val="0"/>
            </w:pPr>
            <w:r>
              <w:rPr>
                <w:sz w:val="20"/>
              </w:rPr>
              <w:t xml:space="preserve">Протяженность автомобильных дорог общего пользования местного значения, на которых осуществлялась дорожная деятельность</w:t>
            </w:r>
          </w:p>
        </w:tc>
        <w:tc>
          <w:tcPr>
            <w:tcW w:w="737" w:type="dxa"/>
          </w:tcPr>
          <w:p>
            <w:pPr>
              <w:pStyle w:val="0"/>
            </w:pPr>
            <w:r>
              <w:rPr>
                <w:sz w:val="20"/>
              </w:rPr>
              <w:t xml:space="preserve">км</w:t>
            </w:r>
          </w:p>
        </w:tc>
        <w:tc>
          <w:tcPr>
            <w:tcW w:w="1077" w:type="dxa"/>
          </w:tcPr>
          <w:p>
            <w:pPr>
              <w:pStyle w:val="0"/>
              <w:jc w:val="center"/>
            </w:pPr>
            <w:r>
              <w:rPr>
                <w:sz w:val="20"/>
              </w:rPr>
              <w:t xml:space="preserve">30,0</w:t>
            </w:r>
          </w:p>
        </w:tc>
        <w:tc>
          <w:tcPr>
            <w:tcW w:w="1077" w:type="dxa"/>
          </w:tcPr>
          <w:p>
            <w:pPr>
              <w:pStyle w:val="0"/>
              <w:jc w:val="center"/>
            </w:pPr>
            <w:r>
              <w:rPr>
                <w:sz w:val="20"/>
              </w:rPr>
              <w:t xml:space="preserve">20,0</w:t>
            </w:r>
          </w:p>
        </w:tc>
        <w:tc>
          <w:tcPr>
            <w:tcW w:w="1077" w:type="dxa"/>
          </w:tcPr>
          <w:p>
            <w:pPr>
              <w:pStyle w:val="0"/>
              <w:jc w:val="center"/>
            </w:pPr>
            <w:r>
              <w:rPr>
                <w:sz w:val="20"/>
              </w:rPr>
              <w:t xml:space="preserve">-</w:t>
            </w:r>
          </w:p>
        </w:tc>
      </w:tr>
      <w:tr>
        <w:tc>
          <w:tcPr>
            <w:tcW w:w="624" w:type="dxa"/>
          </w:tcPr>
          <w:p>
            <w:pPr>
              <w:pStyle w:val="0"/>
              <w:jc w:val="center"/>
            </w:pPr>
            <w:r>
              <w:rPr>
                <w:sz w:val="20"/>
              </w:rPr>
              <w:t xml:space="preserve">59.</w:t>
            </w:r>
          </w:p>
        </w:tc>
        <w:tc>
          <w:tcPr>
            <w:tcW w:w="2608" w:type="dxa"/>
          </w:tcPr>
          <w:p>
            <w:pPr>
              <w:pStyle w:val="0"/>
            </w:pPr>
            <w:r>
              <w:rPr>
                <w:sz w:val="20"/>
              </w:rPr>
              <w:t xml:space="preserve">Дорожная деятельность в рамках реализации национального проекта "Безопасные и качественные автомобильные дороги"</w:t>
            </w:r>
          </w:p>
        </w:tc>
        <w:tc>
          <w:tcPr>
            <w:tcW w:w="1644" w:type="dxa"/>
          </w:tcPr>
          <w:p>
            <w:pPr>
              <w:pStyle w:val="0"/>
            </w:pPr>
            <w:r>
              <w:rPr>
                <w:sz w:val="20"/>
              </w:rPr>
              <w:t xml:space="preserve">Государственная программа "Дорожное хозяйство Владимирской области на 2014 - 2025 годы"</w:t>
            </w:r>
          </w:p>
        </w:tc>
        <w:tc>
          <w:tcPr>
            <w:tcW w:w="1247" w:type="dxa"/>
          </w:tcPr>
          <w:p>
            <w:pPr>
              <w:pStyle w:val="0"/>
            </w:pPr>
            <w:r>
              <w:rPr>
                <w:sz w:val="20"/>
              </w:rPr>
              <w:t xml:space="preserve">Департамент транспорта и дорожного хозяйства Владимирской области</w:t>
            </w:r>
          </w:p>
        </w:tc>
        <w:tc>
          <w:tcPr>
            <w:tcW w:w="3515" w:type="dxa"/>
          </w:tcPr>
          <w:p>
            <w:pPr>
              <w:pStyle w:val="0"/>
            </w:pPr>
            <w:r>
              <w:rPr>
                <w:sz w:val="20"/>
              </w:rPr>
              <w:t xml:space="preserve">Протяженность автомобильных дорог общего пользования местного значения, на которых осуществлялась дорожная деятельность</w:t>
            </w:r>
          </w:p>
        </w:tc>
        <w:tc>
          <w:tcPr>
            <w:tcW w:w="737" w:type="dxa"/>
          </w:tcPr>
          <w:p>
            <w:pPr>
              <w:pStyle w:val="0"/>
            </w:pPr>
            <w:r>
              <w:rPr>
                <w:sz w:val="20"/>
              </w:rPr>
              <w:t xml:space="preserve">км</w:t>
            </w:r>
          </w:p>
        </w:tc>
        <w:tc>
          <w:tcPr>
            <w:tcW w:w="1077" w:type="dxa"/>
          </w:tcPr>
          <w:p>
            <w:pPr>
              <w:pStyle w:val="0"/>
              <w:jc w:val="center"/>
            </w:pPr>
            <w:r>
              <w:rPr>
                <w:sz w:val="20"/>
              </w:rPr>
              <w:t xml:space="preserve">19,9</w:t>
            </w:r>
          </w:p>
        </w:tc>
        <w:tc>
          <w:tcPr>
            <w:tcW w:w="1077" w:type="dxa"/>
          </w:tcPr>
          <w:p>
            <w:pPr>
              <w:pStyle w:val="0"/>
              <w:jc w:val="center"/>
            </w:pPr>
            <w:r>
              <w:rPr>
                <w:sz w:val="20"/>
              </w:rPr>
              <w:t xml:space="preserve">20,0</w:t>
            </w:r>
          </w:p>
        </w:tc>
        <w:tc>
          <w:tcPr>
            <w:tcW w:w="1077" w:type="dxa"/>
          </w:tcPr>
          <w:p>
            <w:pPr>
              <w:pStyle w:val="0"/>
              <w:jc w:val="center"/>
            </w:pPr>
            <w:r>
              <w:rPr>
                <w:sz w:val="20"/>
              </w:rPr>
              <w:t xml:space="preserve">21,6</w:t>
            </w:r>
          </w:p>
        </w:tc>
      </w:tr>
      <w:tr>
        <w:tc>
          <w:tcPr>
            <w:tcW w:w="624" w:type="dxa"/>
          </w:tcPr>
          <w:p>
            <w:pPr>
              <w:pStyle w:val="0"/>
              <w:jc w:val="center"/>
            </w:pPr>
            <w:r>
              <w:rPr>
                <w:sz w:val="20"/>
              </w:rPr>
              <w:t xml:space="preserve">60.</w:t>
            </w:r>
          </w:p>
        </w:tc>
        <w:tc>
          <w:tcPr>
            <w:tcW w:w="2608" w:type="dxa"/>
          </w:tcPr>
          <w:p>
            <w:pPr>
              <w:pStyle w:val="0"/>
            </w:pPr>
            <w:r>
              <w:rPr>
                <w:sz w:val="20"/>
              </w:rPr>
              <w:t xml:space="preserve">Обеспечение равной доступности услуг транспорта общего пользования для отдельных категорий граждан</w:t>
            </w:r>
          </w:p>
        </w:tc>
        <w:tc>
          <w:tcPr>
            <w:tcW w:w="1644" w:type="dxa"/>
          </w:tcPr>
          <w:p>
            <w:pPr>
              <w:pStyle w:val="0"/>
            </w:pPr>
            <w:r>
              <w:rPr>
                <w:sz w:val="20"/>
              </w:rPr>
            </w:r>
          </w:p>
        </w:tc>
        <w:tc>
          <w:tcPr>
            <w:tcW w:w="1247" w:type="dxa"/>
          </w:tcPr>
          <w:p>
            <w:pPr>
              <w:pStyle w:val="0"/>
            </w:pPr>
            <w:r>
              <w:rPr>
                <w:sz w:val="20"/>
              </w:rPr>
              <w:t xml:space="preserve">Департамент транспорта и дорожного хозяйства Владимирской области</w:t>
            </w:r>
          </w:p>
        </w:tc>
        <w:tc>
          <w:tcPr>
            <w:tcW w:w="3515" w:type="dxa"/>
          </w:tcPr>
          <w:p>
            <w:pPr>
              <w:pStyle w:val="0"/>
            </w:pPr>
            <w:r>
              <w:rPr>
                <w:sz w:val="20"/>
              </w:rPr>
              <w:t xml:space="preserve">Доля граждан, ежемесячно пользующихся правом проезда по месячным социальным проездным билетам</w:t>
            </w:r>
          </w:p>
        </w:tc>
        <w:tc>
          <w:tcPr>
            <w:tcW w:w="737" w:type="dxa"/>
          </w:tcPr>
          <w:p>
            <w:pPr>
              <w:pStyle w:val="0"/>
            </w:pPr>
            <w:r>
              <w:rPr>
                <w:sz w:val="20"/>
              </w:rPr>
              <w:t xml:space="preserve">%</w:t>
            </w:r>
          </w:p>
        </w:tc>
        <w:tc>
          <w:tcPr>
            <w:tcW w:w="1077" w:type="dxa"/>
          </w:tcPr>
          <w:p>
            <w:pPr>
              <w:pStyle w:val="0"/>
              <w:jc w:val="center"/>
            </w:pPr>
            <w:r>
              <w:rPr>
                <w:sz w:val="20"/>
              </w:rPr>
              <w:t xml:space="preserve">12,5</w:t>
            </w:r>
          </w:p>
        </w:tc>
        <w:tc>
          <w:tcPr>
            <w:tcW w:w="1077" w:type="dxa"/>
          </w:tcPr>
          <w:p>
            <w:pPr>
              <w:pStyle w:val="0"/>
              <w:jc w:val="center"/>
            </w:pPr>
            <w:r>
              <w:rPr>
                <w:sz w:val="20"/>
              </w:rPr>
              <w:t xml:space="preserve">13,0</w:t>
            </w:r>
          </w:p>
        </w:tc>
        <w:tc>
          <w:tcPr>
            <w:tcW w:w="1077" w:type="dxa"/>
          </w:tcPr>
          <w:p>
            <w:pPr>
              <w:pStyle w:val="0"/>
              <w:jc w:val="center"/>
            </w:pPr>
            <w:r>
              <w:rPr>
                <w:sz w:val="20"/>
              </w:rPr>
              <w:t xml:space="preserve">13,5</w:t>
            </w:r>
          </w:p>
        </w:tc>
      </w:tr>
      <w:tr>
        <w:tc>
          <w:tcPr>
            <w:tcW w:w="624" w:type="dxa"/>
          </w:tcPr>
          <w:p>
            <w:pPr>
              <w:pStyle w:val="0"/>
              <w:jc w:val="center"/>
            </w:pPr>
            <w:r>
              <w:rPr>
                <w:sz w:val="20"/>
              </w:rPr>
              <w:t xml:space="preserve">61.</w:t>
            </w:r>
          </w:p>
        </w:tc>
        <w:tc>
          <w:tcPr>
            <w:tcW w:w="2608" w:type="dxa"/>
          </w:tcPr>
          <w:p>
            <w:pPr>
              <w:pStyle w:val="0"/>
            </w:pPr>
            <w:r>
              <w:rPr>
                <w:sz w:val="20"/>
              </w:rPr>
              <w:t xml:space="preserve">Строительство и реконструкция очистных сооружений, осуществляющих сброс в малые реки области</w:t>
            </w:r>
          </w:p>
        </w:tc>
        <w:tc>
          <w:tcPr>
            <w:tcW w:w="1644" w:type="dxa"/>
          </w:tcPr>
          <w:p>
            <w:pPr>
              <w:pStyle w:val="0"/>
            </w:pPr>
            <w:r>
              <w:rPr>
                <w:sz w:val="20"/>
              </w:rPr>
              <w:t xml:space="preserve">Государственная программа Владимирской области "Охрана окружающей среды и рациональное природопользование на территории Владимирской области"</w:t>
            </w:r>
          </w:p>
        </w:tc>
        <w:tc>
          <w:tcPr>
            <w:tcW w:w="1247" w:type="dxa"/>
          </w:tcPr>
          <w:p>
            <w:pPr>
              <w:pStyle w:val="0"/>
            </w:pPr>
            <w:r>
              <w:rPr>
                <w:sz w:val="20"/>
              </w:rPr>
              <w:t xml:space="preserve">Департамент природопользования и охраны окружающей среды Владимирской области</w:t>
            </w:r>
          </w:p>
        </w:tc>
        <w:tc>
          <w:tcPr>
            <w:tcW w:w="3515" w:type="dxa"/>
          </w:tcPr>
          <w:p>
            <w:pPr>
              <w:pStyle w:val="0"/>
            </w:pPr>
            <w:r>
              <w:rPr>
                <w:sz w:val="20"/>
              </w:rPr>
              <w:t xml:space="preserve">Количество реконструированных и (или) построенных очистных сооружений, сброс с которых осуществляется в малые реки</w:t>
            </w:r>
          </w:p>
        </w:tc>
        <w:tc>
          <w:tcPr>
            <w:tcW w:w="737" w:type="dxa"/>
          </w:tcPr>
          <w:p>
            <w:pPr>
              <w:pStyle w:val="0"/>
            </w:pPr>
            <w:r>
              <w:rPr>
                <w:sz w:val="20"/>
              </w:rPr>
              <w:t xml:space="preserve">единиц</w:t>
            </w:r>
          </w:p>
        </w:tc>
        <w:tc>
          <w:tcPr>
            <w:tcW w:w="1077" w:type="dxa"/>
          </w:tcPr>
          <w:p>
            <w:pPr>
              <w:pStyle w:val="0"/>
              <w:jc w:val="center"/>
            </w:pPr>
            <w:r>
              <w:rPr>
                <w:sz w:val="20"/>
              </w:rPr>
              <w:t xml:space="preserve">1</w:t>
            </w:r>
          </w:p>
        </w:tc>
        <w:tc>
          <w:tcPr>
            <w:tcW w:w="1077" w:type="dxa"/>
          </w:tcPr>
          <w:p>
            <w:pPr>
              <w:pStyle w:val="0"/>
              <w:jc w:val="center"/>
            </w:pPr>
            <w:r>
              <w:rPr>
                <w:sz w:val="20"/>
              </w:rPr>
              <w:t xml:space="preserve">1</w:t>
            </w:r>
          </w:p>
        </w:tc>
        <w:tc>
          <w:tcPr>
            <w:tcW w:w="1077" w:type="dxa"/>
          </w:tcPr>
          <w:p>
            <w:pPr>
              <w:pStyle w:val="0"/>
              <w:jc w:val="center"/>
            </w:pPr>
            <w:r>
              <w:rPr>
                <w:sz w:val="20"/>
              </w:rPr>
              <w:t xml:space="preserve">1</w:t>
            </w:r>
          </w:p>
        </w:tc>
      </w:tr>
      <w:tr>
        <w:tc>
          <w:tcPr>
            <w:tcW w:w="624" w:type="dxa"/>
          </w:tcPr>
          <w:p>
            <w:pPr>
              <w:pStyle w:val="0"/>
              <w:jc w:val="center"/>
            </w:pPr>
            <w:r>
              <w:rPr>
                <w:sz w:val="20"/>
              </w:rPr>
              <w:t xml:space="preserve">62.</w:t>
            </w:r>
          </w:p>
        </w:tc>
        <w:tc>
          <w:tcPr>
            <w:tcW w:w="2608" w:type="dxa"/>
          </w:tcPr>
          <w:p>
            <w:pPr>
              <w:pStyle w:val="0"/>
            </w:pPr>
            <w:r>
              <w:rPr>
                <w:sz w:val="20"/>
              </w:rPr>
              <w:t xml:space="preserve">Организация и проведение культурно-массовых мероприятий</w:t>
            </w:r>
          </w:p>
        </w:tc>
        <w:tc>
          <w:tcPr>
            <w:tcW w:w="1644" w:type="dxa"/>
          </w:tcPr>
          <w:p>
            <w:pPr>
              <w:pStyle w:val="0"/>
            </w:pPr>
            <w:r>
              <w:rPr>
                <w:sz w:val="20"/>
              </w:rPr>
              <w:t xml:space="preserve">Государственная программа Владимирской области "Дополнительные меры по улучшению демографической ситуации во Владимирской области"</w:t>
            </w:r>
          </w:p>
        </w:tc>
        <w:tc>
          <w:tcPr>
            <w:tcW w:w="1247" w:type="dxa"/>
          </w:tcPr>
          <w:p>
            <w:pPr>
              <w:pStyle w:val="0"/>
            </w:pPr>
            <w:r>
              <w:rPr>
                <w:sz w:val="20"/>
              </w:rPr>
              <w:t xml:space="preserve">Администрация Владимирской области (Комитет по социальной политике администрации области)</w:t>
            </w:r>
          </w:p>
        </w:tc>
        <w:tc>
          <w:tcPr>
            <w:tcW w:w="3515" w:type="dxa"/>
          </w:tcPr>
          <w:p>
            <w:pPr>
              <w:pStyle w:val="0"/>
            </w:pPr>
            <w:r>
              <w:rPr>
                <w:sz w:val="20"/>
              </w:rPr>
              <w:t xml:space="preserve">Отсутствие кредиторской задолженности муниципального образования по расходам, осуществляемым за счет иного межбюджетного трансферта из областного бюджета</w:t>
            </w:r>
          </w:p>
        </w:tc>
        <w:tc>
          <w:tcPr>
            <w:tcW w:w="737" w:type="dxa"/>
          </w:tcPr>
          <w:p>
            <w:pPr>
              <w:pStyle w:val="0"/>
            </w:pPr>
            <w:r>
              <w:rPr>
                <w:sz w:val="20"/>
              </w:rPr>
              <w:t xml:space="preserve">процент</w:t>
            </w:r>
          </w:p>
        </w:tc>
        <w:tc>
          <w:tcPr>
            <w:tcW w:w="1077" w:type="dxa"/>
          </w:tcPr>
          <w:p>
            <w:pPr>
              <w:pStyle w:val="0"/>
              <w:jc w:val="center"/>
            </w:pPr>
            <w:r>
              <w:rPr>
                <w:sz w:val="20"/>
              </w:rPr>
              <w:t xml:space="preserve">100</w:t>
            </w:r>
          </w:p>
        </w:tc>
        <w:tc>
          <w:tcPr>
            <w:tcW w:w="1077" w:type="dxa"/>
          </w:tcPr>
          <w:p>
            <w:pPr>
              <w:pStyle w:val="0"/>
              <w:jc w:val="center"/>
            </w:pPr>
            <w:r>
              <w:rPr>
                <w:sz w:val="20"/>
              </w:rPr>
              <w:t xml:space="preserve">100</w:t>
            </w:r>
          </w:p>
        </w:tc>
        <w:tc>
          <w:tcPr>
            <w:tcW w:w="1077" w:type="dxa"/>
          </w:tcPr>
          <w:p>
            <w:pPr>
              <w:pStyle w:val="0"/>
              <w:jc w:val="center"/>
            </w:pPr>
            <w:r>
              <w:rPr>
                <w:sz w:val="20"/>
              </w:rPr>
              <w:t xml:space="preserve">100</w:t>
            </w:r>
          </w:p>
        </w:tc>
      </w:tr>
      <w:tr>
        <w:tc>
          <w:tcPr>
            <w:tcW w:w="624" w:type="dxa"/>
          </w:tcPr>
          <w:p>
            <w:pPr>
              <w:pStyle w:val="0"/>
              <w:jc w:val="center"/>
            </w:pPr>
            <w:r>
              <w:rPr>
                <w:sz w:val="20"/>
              </w:rPr>
              <w:t xml:space="preserve">63.</w:t>
            </w:r>
          </w:p>
        </w:tc>
        <w:tc>
          <w:tcPr>
            <w:tcW w:w="2608" w:type="dxa"/>
          </w:tcPr>
          <w:p>
            <w:pPr>
              <w:pStyle w:val="0"/>
            </w:pPr>
            <w:r>
              <w:rPr>
                <w:sz w:val="20"/>
              </w:rPr>
              <w:t xml:space="preserve">Мероприятия по предупреждению терроризма и экстремизма в сферах молодежной политики, дополнительного образования, библиотечного обслуживания</w:t>
            </w:r>
          </w:p>
        </w:tc>
        <w:tc>
          <w:tcPr>
            <w:tcW w:w="1644" w:type="dxa"/>
          </w:tcPr>
          <w:p>
            <w:pPr>
              <w:pStyle w:val="0"/>
            </w:pPr>
            <w:r>
              <w:rPr>
                <w:sz w:val="20"/>
              </w:rPr>
              <w:t xml:space="preserve">Государственная программа Владимирской области "Обеспечение безопасности населения и территорий во Владимирской области"</w:t>
            </w:r>
          </w:p>
        </w:tc>
        <w:tc>
          <w:tcPr>
            <w:tcW w:w="1247" w:type="dxa"/>
          </w:tcPr>
          <w:p>
            <w:pPr>
              <w:pStyle w:val="0"/>
            </w:pPr>
            <w:r>
              <w:rPr>
                <w:sz w:val="20"/>
              </w:rPr>
              <w:t xml:space="preserve">Администрация Владимирской области (Комитет по молодежной политике администрации области)</w:t>
            </w:r>
          </w:p>
        </w:tc>
        <w:tc>
          <w:tcPr>
            <w:tcW w:w="3515" w:type="dxa"/>
          </w:tcPr>
          <w:p>
            <w:pPr>
              <w:pStyle w:val="0"/>
            </w:pPr>
            <w:r>
              <w:rPr>
                <w:sz w:val="20"/>
              </w:rPr>
              <w:t xml:space="preserve">Повышение материальной оснащенности учреждения сферы молодежной политики</w:t>
            </w:r>
          </w:p>
        </w:tc>
        <w:tc>
          <w:tcPr>
            <w:tcW w:w="737" w:type="dxa"/>
          </w:tcPr>
          <w:p>
            <w:pPr>
              <w:pStyle w:val="0"/>
            </w:pPr>
            <w:r>
              <w:rPr>
                <w:sz w:val="20"/>
              </w:rPr>
              <w:t xml:space="preserve">процент</w:t>
            </w:r>
          </w:p>
        </w:tc>
        <w:tc>
          <w:tcPr>
            <w:tcW w:w="1077" w:type="dxa"/>
          </w:tcPr>
          <w:p>
            <w:pPr>
              <w:pStyle w:val="0"/>
              <w:jc w:val="center"/>
            </w:pPr>
            <w:r>
              <w:rPr>
                <w:sz w:val="20"/>
              </w:rPr>
              <w:t xml:space="preserve">0,5 - 30</w:t>
            </w:r>
          </w:p>
        </w:tc>
        <w:tc>
          <w:tcPr>
            <w:tcW w:w="1077" w:type="dxa"/>
          </w:tcPr>
          <w:p>
            <w:pPr>
              <w:pStyle w:val="0"/>
              <w:jc w:val="center"/>
            </w:pPr>
            <w:r>
              <w:rPr>
                <w:sz w:val="20"/>
              </w:rPr>
              <w:t xml:space="preserve">0,5 - 30</w:t>
            </w:r>
          </w:p>
        </w:tc>
        <w:tc>
          <w:tcPr>
            <w:tcW w:w="1077" w:type="dxa"/>
          </w:tcPr>
          <w:p>
            <w:pPr>
              <w:pStyle w:val="0"/>
              <w:jc w:val="center"/>
            </w:pPr>
            <w:r>
              <w:rPr>
                <w:sz w:val="20"/>
              </w:rPr>
              <w:t xml:space="preserve">0,5 - 30</w:t>
            </w:r>
          </w:p>
        </w:tc>
      </w:tr>
      <w:tr>
        <w:tc>
          <w:tcPr>
            <w:tcW w:w="624" w:type="dxa"/>
            <w:vMerge w:val="restart"/>
          </w:tcPr>
          <w:p>
            <w:pPr>
              <w:pStyle w:val="0"/>
              <w:jc w:val="center"/>
            </w:pPr>
            <w:r>
              <w:rPr>
                <w:sz w:val="20"/>
              </w:rPr>
              <w:t xml:space="preserve">64.</w:t>
            </w:r>
          </w:p>
        </w:tc>
        <w:tc>
          <w:tcPr>
            <w:tcW w:w="2608" w:type="dxa"/>
            <w:vMerge w:val="restart"/>
          </w:tcPr>
          <w:p>
            <w:pPr>
              <w:pStyle w:val="0"/>
            </w:pPr>
            <w:r>
              <w:rPr>
                <w:sz w:val="20"/>
              </w:rPr>
              <w:t xml:space="preserve">Обеспечение предоставления государственных и муниципальных услуг по принципу "одного окна"</w:t>
            </w:r>
          </w:p>
        </w:tc>
        <w:tc>
          <w:tcPr>
            <w:tcW w:w="1644" w:type="dxa"/>
            <w:vMerge w:val="restart"/>
          </w:tcPr>
          <w:p>
            <w:pPr>
              <w:pStyle w:val="0"/>
            </w:pPr>
            <w:r>
              <w:rPr>
                <w:sz w:val="20"/>
              </w:rPr>
              <w:t xml:space="preserve">Государственная программа Владимирской области "Снижение административных барьеров, оптимизация и повышение качества предоставления государственных и муниципальных услуг, в том числе на базе многофункциональных центров предоставления государственных и муниципальных услуг во Владимирской области"</w:t>
            </w:r>
          </w:p>
        </w:tc>
        <w:tc>
          <w:tcPr>
            <w:tcW w:w="1247" w:type="dxa"/>
            <w:vMerge w:val="restart"/>
          </w:tcPr>
          <w:p>
            <w:pPr>
              <w:pStyle w:val="0"/>
            </w:pPr>
            <w:r>
              <w:rPr>
                <w:sz w:val="20"/>
              </w:rPr>
              <w:t xml:space="preserve">Департамент регионального развития Владимирской области</w:t>
            </w:r>
          </w:p>
        </w:tc>
        <w:tc>
          <w:tcPr>
            <w:tcW w:w="3515" w:type="dxa"/>
          </w:tcPr>
          <w:p>
            <w:pPr>
              <w:pStyle w:val="0"/>
            </w:pPr>
            <w:r>
              <w:rPr>
                <w:sz w:val="20"/>
              </w:rPr>
              <w:t xml:space="preserve">Степень удовлетворенности граждан качеством и доступностью государственных и муниципальных услуг (функций), предоставляемых на базе МФЦ</w:t>
            </w:r>
          </w:p>
        </w:tc>
        <w:tc>
          <w:tcPr>
            <w:tcW w:w="737" w:type="dxa"/>
          </w:tcPr>
          <w:p>
            <w:pPr>
              <w:pStyle w:val="0"/>
            </w:pPr>
            <w:r>
              <w:rPr>
                <w:sz w:val="20"/>
              </w:rPr>
              <w:t xml:space="preserve">%</w:t>
            </w:r>
          </w:p>
        </w:tc>
        <w:tc>
          <w:tcPr>
            <w:tcW w:w="1077" w:type="dxa"/>
          </w:tcPr>
          <w:p>
            <w:pPr>
              <w:pStyle w:val="0"/>
              <w:jc w:val="center"/>
            </w:pPr>
            <w:r>
              <w:rPr>
                <w:sz w:val="20"/>
              </w:rPr>
              <w:t xml:space="preserve">95</w:t>
            </w:r>
          </w:p>
        </w:tc>
        <w:tc>
          <w:tcPr>
            <w:tcW w:w="1077" w:type="dxa"/>
          </w:tcPr>
          <w:p>
            <w:pPr>
              <w:pStyle w:val="0"/>
              <w:jc w:val="center"/>
            </w:pPr>
            <w:r>
              <w:rPr>
                <w:sz w:val="20"/>
              </w:rPr>
              <w:t xml:space="preserve">95</w:t>
            </w:r>
          </w:p>
        </w:tc>
        <w:tc>
          <w:tcPr>
            <w:tcW w:w="1077" w:type="dxa"/>
          </w:tcPr>
          <w:p>
            <w:pPr>
              <w:pStyle w:val="0"/>
              <w:jc w:val="center"/>
            </w:pPr>
            <w:r>
              <w:rPr>
                <w:sz w:val="20"/>
              </w:rPr>
              <w:t xml:space="preserve">-</w:t>
            </w:r>
          </w:p>
        </w:tc>
      </w:tr>
      <w:tr>
        <w:tc>
          <w:tcPr>
            <w:vMerge w:val="continue"/>
          </w:tcPr>
          <w:p/>
        </w:tc>
        <w:tc>
          <w:tcPr>
            <w:vMerge w:val="continue"/>
          </w:tcPr>
          <w:p/>
        </w:tc>
        <w:tc>
          <w:tcPr>
            <w:vMerge w:val="continue"/>
          </w:tcPr>
          <w:p/>
        </w:tc>
        <w:tc>
          <w:tcPr>
            <w:vMerge w:val="continue"/>
          </w:tcPr>
          <w:p/>
        </w:tc>
        <w:tc>
          <w:tcPr>
            <w:tcW w:w="3515" w:type="dxa"/>
          </w:tcPr>
          <w:p>
            <w:pPr>
              <w:pStyle w:val="0"/>
            </w:pPr>
            <w:r>
              <w:rPr>
                <w:sz w:val="20"/>
              </w:rPr>
              <w:t xml:space="preserve">Соответствие фактически предоставляемых в МФЦ государственных и муниципальных услуг перечням государственных и муниципальных услуг, утвержденных в соответствии с </w:t>
            </w:r>
            <w:hyperlink w:history="0" r:id="rId90" w:tooltip="Федеральный закон от 27.07.2010 N 210-ФЗ (ред. от 30.12.2021) &quot;Об организации предоставления государственных и муниципальных услуг&quot; (с изм. и доп., вступ. в силу с 17.12.2022) {КонсультантПлюс}">
              <w:r>
                <w:rPr>
                  <w:sz w:val="20"/>
                  <w:color w:val="0000ff"/>
                </w:rPr>
                <w:t xml:space="preserve">пунктом 6 статьи 15</w:t>
              </w:r>
            </w:hyperlink>
            <w:r>
              <w:rPr>
                <w:sz w:val="20"/>
              </w:rPr>
              <w:t xml:space="preserve"> Федерального закона от 27.07.2010 N 210-ФЗ "Об организации предоставления государственных и муниципальных услуг", - 100%</w:t>
            </w:r>
          </w:p>
        </w:tc>
        <w:tc>
          <w:tcPr>
            <w:tcW w:w="737" w:type="dxa"/>
          </w:tcPr>
          <w:p>
            <w:pPr>
              <w:pStyle w:val="0"/>
            </w:pPr>
            <w:r>
              <w:rPr>
                <w:sz w:val="20"/>
              </w:rPr>
              <w:t xml:space="preserve">%</w:t>
            </w:r>
          </w:p>
        </w:tc>
        <w:tc>
          <w:tcPr>
            <w:tcW w:w="1077" w:type="dxa"/>
          </w:tcPr>
          <w:p>
            <w:pPr>
              <w:pStyle w:val="0"/>
              <w:jc w:val="center"/>
            </w:pPr>
            <w:r>
              <w:rPr>
                <w:sz w:val="20"/>
              </w:rPr>
              <w:t xml:space="preserve">100</w:t>
            </w:r>
          </w:p>
        </w:tc>
        <w:tc>
          <w:tcPr>
            <w:tcW w:w="1077" w:type="dxa"/>
          </w:tcPr>
          <w:p>
            <w:pPr>
              <w:pStyle w:val="0"/>
              <w:jc w:val="center"/>
            </w:pPr>
            <w:r>
              <w:rPr>
                <w:sz w:val="20"/>
              </w:rPr>
              <w:t xml:space="preserve">100</w:t>
            </w:r>
          </w:p>
        </w:tc>
        <w:tc>
          <w:tcPr>
            <w:tcW w:w="1077" w:type="dxa"/>
          </w:tcPr>
          <w:p>
            <w:pPr>
              <w:pStyle w:val="0"/>
              <w:jc w:val="center"/>
            </w:pPr>
            <w:r>
              <w:rPr>
                <w:sz w:val="20"/>
              </w:rPr>
              <w:t xml:space="preserve">-</w:t>
            </w:r>
          </w:p>
        </w:tc>
      </w:tr>
      <w:tr>
        <w:tc>
          <w:tcPr>
            <w:vMerge w:val="continue"/>
          </w:tcPr>
          <w:p/>
        </w:tc>
        <w:tc>
          <w:tcPr>
            <w:vMerge w:val="continue"/>
          </w:tcPr>
          <w:p/>
        </w:tc>
        <w:tc>
          <w:tcPr>
            <w:vMerge w:val="continue"/>
          </w:tcPr>
          <w:p/>
        </w:tc>
        <w:tc>
          <w:tcPr>
            <w:vMerge w:val="continue"/>
          </w:tcPr>
          <w:p/>
        </w:tc>
        <w:tc>
          <w:tcPr>
            <w:tcW w:w="3515" w:type="dxa"/>
          </w:tcPr>
          <w:p>
            <w:pPr>
              <w:pStyle w:val="0"/>
            </w:pPr>
            <w:r>
              <w:rPr>
                <w:sz w:val="20"/>
              </w:rPr>
              <w:t xml:space="preserve">Соответствие количества работающих окон обслуживания МФЦ и окон обслуживания ТОСП действующей схеме размещения МФЦ Владимирской области</w:t>
            </w:r>
          </w:p>
        </w:tc>
        <w:tc>
          <w:tcPr>
            <w:tcW w:w="737" w:type="dxa"/>
          </w:tcPr>
          <w:p>
            <w:pPr>
              <w:pStyle w:val="0"/>
            </w:pPr>
            <w:r>
              <w:rPr>
                <w:sz w:val="20"/>
              </w:rPr>
              <w:t xml:space="preserve">%</w:t>
            </w:r>
          </w:p>
        </w:tc>
        <w:tc>
          <w:tcPr>
            <w:tcW w:w="1077" w:type="dxa"/>
          </w:tcPr>
          <w:p>
            <w:pPr>
              <w:pStyle w:val="0"/>
              <w:jc w:val="center"/>
            </w:pPr>
            <w:r>
              <w:rPr>
                <w:sz w:val="20"/>
              </w:rPr>
              <w:t xml:space="preserve">100</w:t>
            </w:r>
          </w:p>
        </w:tc>
        <w:tc>
          <w:tcPr>
            <w:tcW w:w="1077" w:type="dxa"/>
          </w:tcPr>
          <w:p>
            <w:pPr>
              <w:pStyle w:val="0"/>
              <w:jc w:val="center"/>
            </w:pPr>
            <w:r>
              <w:rPr>
                <w:sz w:val="20"/>
              </w:rPr>
              <w:t xml:space="preserve">100</w:t>
            </w:r>
          </w:p>
        </w:tc>
        <w:tc>
          <w:tcPr>
            <w:tcW w:w="1077" w:type="dxa"/>
          </w:tcPr>
          <w:p>
            <w:pPr>
              <w:pStyle w:val="0"/>
              <w:jc w:val="center"/>
            </w:pPr>
            <w:r>
              <w:rPr>
                <w:sz w:val="20"/>
              </w:rPr>
              <w:t xml:space="preserve">-</w:t>
            </w:r>
          </w:p>
        </w:tc>
      </w:tr>
      <w:tr>
        <w:tc>
          <w:tcPr>
            <w:tcW w:w="624" w:type="dxa"/>
            <w:vMerge w:val="restart"/>
          </w:tcPr>
          <w:p>
            <w:pPr>
              <w:pStyle w:val="0"/>
              <w:jc w:val="center"/>
            </w:pPr>
            <w:r>
              <w:rPr>
                <w:sz w:val="20"/>
              </w:rPr>
              <w:t xml:space="preserve">65.</w:t>
            </w:r>
          </w:p>
        </w:tc>
        <w:tc>
          <w:tcPr>
            <w:tcW w:w="2608" w:type="dxa"/>
          </w:tcPr>
          <w:p>
            <w:pPr>
              <w:pStyle w:val="0"/>
            </w:pPr>
            <w:r>
              <w:rPr>
                <w:sz w:val="20"/>
              </w:rPr>
              <w:t xml:space="preserve">Расходы, связанные с присвоением г. Коврову почетного звания РФ "Город воинской славы" и увековечением памяти погибших при защите Отечества</w:t>
            </w:r>
          </w:p>
        </w:tc>
        <w:tc>
          <w:tcPr>
            <w:tcW w:w="1644" w:type="dxa"/>
          </w:tcPr>
          <w:p>
            <w:pPr>
              <w:pStyle w:val="0"/>
            </w:pPr>
            <w:r>
              <w:rPr>
                <w:sz w:val="20"/>
              </w:rPr>
              <w:t xml:space="preserve">Государственная программа Владимирской области "Патриотическое воспитание граждан Владимирской области"</w:t>
            </w:r>
          </w:p>
        </w:tc>
        <w:tc>
          <w:tcPr>
            <w:tcW w:w="1247" w:type="dxa"/>
          </w:tcPr>
          <w:p>
            <w:pPr>
              <w:pStyle w:val="0"/>
            </w:pPr>
            <w:r>
              <w:rPr>
                <w:sz w:val="20"/>
              </w:rPr>
              <w:t xml:space="preserve">Департамент региональной политики Владимирской области</w:t>
            </w:r>
          </w:p>
        </w:tc>
        <w:tc>
          <w:tcPr>
            <w:tcW w:w="3515" w:type="dxa"/>
          </w:tcPr>
          <w:p>
            <w:pPr>
              <w:pStyle w:val="0"/>
            </w:pPr>
            <w:r>
              <w:rPr>
                <w:sz w:val="20"/>
              </w:rPr>
              <w:t xml:space="preserve">Выполнение плана мероприятий, связанных с присвоением почетного звания Российской Федерации "Город воинской славы" и увековечением памяти погибших при защите Отечества</w:t>
            </w:r>
          </w:p>
        </w:tc>
        <w:tc>
          <w:tcPr>
            <w:tcW w:w="737" w:type="dxa"/>
          </w:tcPr>
          <w:p>
            <w:pPr>
              <w:pStyle w:val="0"/>
            </w:pPr>
            <w:r>
              <w:rPr>
                <w:sz w:val="20"/>
              </w:rPr>
              <w:t xml:space="preserve">%</w:t>
            </w:r>
          </w:p>
        </w:tc>
        <w:tc>
          <w:tcPr>
            <w:tcW w:w="1077" w:type="dxa"/>
          </w:tcPr>
          <w:p>
            <w:pPr>
              <w:pStyle w:val="0"/>
              <w:jc w:val="center"/>
            </w:pPr>
            <w:r>
              <w:rPr>
                <w:sz w:val="20"/>
              </w:rPr>
              <w:t xml:space="preserve">95</w:t>
            </w:r>
          </w:p>
        </w:tc>
        <w:tc>
          <w:tcPr>
            <w:tcW w:w="1077" w:type="dxa"/>
          </w:tcPr>
          <w:p>
            <w:pPr>
              <w:pStyle w:val="0"/>
              <w:jc w:val="center"/>
            </w:pPr>
            <w:r>
              <w:rPr>
                <w:sz w:val="20"/>
              </w:rPr>
              <w:t xml:space="preserve">95</w:t>
            </w:r>
          </w:p>
        </w:tc>
        <w:tc>
          <w:tcPr>
            <w:tcW w:w="1077" w:type="dxa"/>
          </w:tcPr>
          <w:p>
            <w:pPr>
              <w:pStyle w:val="0"/>
              <w:jc w:val="center"/>
            </w:pPr>
            <w:r>
              <w:rPr>
                <w:sz w:val="20"/>
              </w:rPr>
              <w:t xml:space="preserve">95</w:t>
            </w:r>
          </w:p>
        </w:tc>
      </w:tr>
      <w:tr>
        <w:tc>
          <w:tcPr>
            <w:vMerge w:val="continue"/>
          </w:tcPr>
          <w:p/>
        </w:tc>
        <w:tc>
          <w:tcPr>
            <w:tcW w:w="2608" w:type="dxa"/>
            <w:vMerge w:val="restart"/>
          </w:tcPr>
          <w:p>
            <w:pPr>
              <w:pStyle w:val="0"/>
            </w:pPr>
            <w:r>
              <w:rPr>
                <w:sz w:val="20"/>
              </w:rPr>
              <w:t xml:space="preserve">Поддержка субъектов малого и среднего предпринимательства в рамках реализации муниципальных программ (подпрограмм) развития малого и среднего предпринимательства, в том числе монопрофильных муниципальных</w:t>
            </w:r>
          </w:p>
        </w:tc>
        <w:tc>
          <w:tcPr>
            <w:tcW w:w="1644" w:type="dxa"/>
            <w:vMerge w:val="restart"/>
          </w:tcPr>
          <w:p>
            <w:pPr>
              <w:pStyle w:val="0"/>
            </w:pPr>
            <w:r>
              <w:rPr>
                <w:sz w:val="20"/>
              </w:rPr>
              <w:t xml:space="preserve">Государственная программа Владимирской области "Развитие малого и среднего предпринимательства во Владимирской области"</w:t>
            </w:r>
          </w:p>
        </w:tc>
        <w:tc>
          <w:tcPr>
            <w:tcW w:w="1247" w:type="dxa"/>
            <w:vMerge w:val="restart"/>
          </w:tcPr>
          <w:p>
            <w:pPr>
              <w:pStyle w:val="0"/>
            </w:pPr>
            <w:r>
              <w:rPr>
                <w:sz w:val="20"/>
              </w:rPr>
              <w:t xml:space="preserve">Департамент предпринимательства Владимирской области</w:t>
            </w:r>
          </w:p>
        </w:tc>
        <w:tc>
          <w:tcPr>
            <w:tcW w:w="3515" w:type="dxa"/>
          </w:tcPr>
          <w:p>
            <w:pPr>
              <w:pStyle w:val="0"/>
            </w:pPr>
            <w:r>
              <w:rPr>
                <w:sz w:val="20"/>
              </w:rPr>
              <w:t xml:space="preserve">Количество вновь созданных рабочих мест (включая вновь зарегистрированных индивидуальных предпринимателей) субъектами малого и среднего предпринимательства, получившими государственную поддержку</w:t>
            </w:r>
          </w:p>
        </w:tc>
        <w:tc>
          <w:tcPr>
            <w:tcW w:w="737" w:type="dxa"/>
          </w:tcPr>
          <w:p>
            <w:pPr>
              <w:pStyle w:val="0"/>
            </w:pPr>
            <w:r>
              <w:rPr>
                <w:sz w:val="20"/>
              </w:rPr>
              <w:t xml:space="preserve">ед.</w:t>
            </w:r>
          </w:p>
        </w:tc>
        <w:tc>
          <w:tcPr>
            <w:tcW w:w="1077" w:type="dxa"/>
          </w:tcPr>
          <w:p>
            <w:pPr>
              <w:pStyle w:val="0"/>
              <w:jc w:val="center"/>
            </w:pPr>
            <w:r>
              <w:rPr>
                <w:sz w:val="20"/>
              </w:rPr>
              <w:t xml:space="preserve">7</w:t>
            </w:r>
          </w:p>
        </w:tc>
        <w:tc>
          <w:tcPr>
            <w:tcW w:w="1077" w:type="dxa"/>
          </w:tcPr>
          <w:p>
            <w:pPr>
              <w:pStyle w:val="0"/>
              <w:jc w:val="center"/>
            </w:pPr>
            <w:r>
              <w:rPr>
                <w:sz w:val="20"/>
              </w:rPr>
              <w:t xml:space="preserve">7</w:t>
            </w:r>
          </w:p>
        </w:tc>
        <w:tc>
          <w:tcPr>
            <w:tcW w:w="1077" w:type="dxa"/>
          </w:tcPr>
          <w:p>
            <w:pPr>
              <w:pStyle w:val="0"/>
              <w:jc w:val="center"/>
            </w:pPr>
            <w:r>
              <w:rPr>
                <w:sz w:val="20"/>
              </w:rPr>
              <w:t xml:space="preserve">7</w:t>
            </w:r>
          </w:p>
        </w:tc>
      </w:tr>
      <w:tr>
        <w:tc>
          <w:tcPr>
            <w:vMerge w:val="continue"/>
          </w:tcPr>
          <w:p/>
        </w:tc>
        <w:tc>
          <w:tcPr>
            <w:vMerge w:val="continue"/>
          </w:tcPr>
          <w:p/>
        </w:tc>
        <w:tc>
          <w:tcPr>
            <w:vMerge w:val="continue"/>
          </w:tcPr>
          <w:p/>
        </w:tc>
        <w:tc>
          <w:tcPr>
            <w:vMerge w:val="continue"/>
          </w:tcPr>
          <w:p/>
        </w:tc>
        <w:tc>
          <w:tcPr>
            <w:tcW w:w="3515" w:type="dxa"/>
          </w:tcPr>
          <w:p>
            <w:pPr>
              <w:pStyle w:val="0"/>
            </w:pPr>
            <w:r>
              <w:rPr>
                <w:sz w:val="20"/>
              </w:rPr>
              <w:t xml:space="preserve">Количество субъектов малого и среднего предпринимательства, получивших государственную поддержку, а также физических лиц, применяющих специальный налоговый режим "Налог на профессиональный доход"</w:t>
            </w:r>
          </w:p>
        </w:tc>
        <w:tc>
          <w:tcPr>
            <w:tcW w:w="737" w:type="dxa"/>
          </w:tcPr>
          <w:p>
            <w:pPr>
              <w:pStyle w:val="0"/>
            </w:pPr>
            <w:r>
              <w:rPr>
                <w:sz w:val="20"/>
              </w:rPr>
              <w:t xml:space="preserve">ед.</w:t>
            </w:r>
          </w:p>
        </w:tc>
        <w:tc>
          <w:tcPr>
            <w:tcW w:w="1077" w:type="dxa"/>
          </w:tcPr>
          <w:p>
            <w:pPr>
              <w:pStyle w:val="0"/>
              <w:jc w:val="center"/>
            </w:pPr>
            <w:r>
              <w:rPr>
                <w:sz w:val="20"/>
              </w:rPr>
              <w:t xml:space="preserve">12</w:t>
            </w:r>
          </w:p>
        </w:tc>
        <w:tc>
          <w:tcPr>
            <w:tcW w:w="1077" w:type="dxa"/>
          </w:tcPr>
          <w:p>
            <w:pPr>
              <w:pStyle w:val="0"/>
              <w:jc w:val="center"/>
            </w:pPr>
            <w:r>
              <w:rPr>
                <w:sz w:val="20"/>
              </w:rPr>
              <w:t xml:space="preserve">12</w:t>
            </w:r>
          </w:p>
        </w:tc>
        <w:tc>
          <w:tcPr>
            <w:tcW w:w="1077" w:type="dxa"/>
          </w:tcPr>
          <w:p>
            <w:pPr>
              <w:pStyle w:val="0"/>
              <w:jc w:val="center"/>
            </w:pPr>
            <w:r>
              <w:rPr>
                <w:sz w:val="20"/>
              </w:rPr>
              <w:t xml:space="preserve">9</w:t>
            </w:r>
          </w:p>
        </w:tc>
      </w:tr>
    </w:tbl>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80"/>
      <w:headerReference w:type="first" r:id="rId80"/>
      <w:footerReference w:type="default" r:id="rId81"/>
      <w:footerReference w:type="first" r:id="rId81"/>
      <w:pgSz w:w="16838" w:h="11906" w:orient="landscape"/>
      <w:pgMar w:top="1133" w:right="1440" w:bottom="566" w:left="1440"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Распоряжение администрации Владимирской обл. от 05.07.2021 N 512-р</w:t>
            <w:br/>
            <w:t>"Об утверждении исходных данных для составления проек...</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09.01.2023</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Распоряжение администрации Владимирской обл. от 05.07.2021 N 512-р</w:t>
            <w:br/>
            <w:t>"Об утверждении исходных данных для составления проек...</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09.01.2023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0"/>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0"/>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537A5D195CFB682CBF15F315A2C9A46215C310ABEF4B380ABA4455A67E622C7B7D3DFA9C2AABF051498E3004C0F52B2B846BB703E0CF47CCEFC83E41zAE2P" TargetMode = "External"/>
	<Relationship Id="rId8" Type="http://schemas.openxmlformats.org/officeDocument/2006/relationships/hyperlink" Target="consultantplus://offline/ref=537A5D195CFB682CBF15F315A2C9A46215C310ABEF4B3909B24A55A67E622C7B7D3DFA9C2AABF051498E3700C7F52B2B846BB703E0CF47CCEFC83E41zAE2P" TargetMode = "External"/>
	<Relationship Id="rId9" Type="http://schemas.openxmlformats.org/officeDocument/2006/relationships/hyperlink" Target="consultantplus://offline/ref=537A5D195CFB682CBF15ED18B4A5FA6813CB4AA1EE4D365EEE1653F121322A2E3D7DFCC969ECF8554185635685AB727AC920BA02F7D347CFzFE2P" TargetMode = "External"/>
	<Relationship Id="rId10" Type="http://schemas.openxmlformats.org/officeDocument/2006/relationships/hyperlink" Target="consultantplus://offline/ref=537A5D195CFB682CBF15ED18B4A5FA6814CD46A6EC4A365EEE1653F121322A2E2F7DA4C569E6E35048903507C3zFEDP" TargetMode = "External"/>
	<Relationship Id="rId11" Type="http://schemas.openxmlformats.org/officeDocument/2006/relationships/hyperlink" Target="consultantplus://offline/ref=537A5D195CFB682CBF15F315A2C9A46215C310ABEF4B380ABA4455A67E622C7B7D3DFA9C2AABF051498E3F01C4F52B2B846BB703E0CF47CCEFC83E41zAE2P" TargetMode = "External"/>
	<Relationship Id="rId12" Type="http://schemas.openxmlformats.org/officeDocument/2006/relationships/hyperlink" Target="consultantplus://offline/ref=537A5D195CFB682CBF15F315A2C9A46215C310ABEF483A09B44255A67E622C7B7D3DFA9C38ABA85D49872907C0E07D7AC2z3EDP" TargetMode = "External"/>
	<Relationship Id="rId13" Type="http://schemas.openxmlformats.org/officeDocument/2006/relationships/hyperlink" Target="consultantplus://offline/ref=537A5D195CFB682CBF15F315A2C9A46215C310ABEF4B3409B04255A67E622C7B7D3DFA9C38ABA85D49872907C0E07D7AC2z3EDP" TargetMode = "External"/>
	<Relationship Id="rId14" Type="http://schemas.openxmlformats.org/officeDocument/2006/relationships/hyperlink" Target="consultantplus://offline/ref=537A5D195CFB682CBF15F315A2C9A46215C310ABEF4B390BB54055A67E622C7B7D3DFA9C38ABA85D49872907C0E07D7AC2z3EDP" TargetMode = "External"/>
	<Relationship Id="rId15" Type="http://schemas.openxmlformats.org/officeDocument/2006/relationships/hyperlink" Target="consultantplus://offline/ref=537A5D195CFB682CBF15F315A2C9A46215C310ABEF483D0FB24255A67E622C7B7D3DFA9C38ABA85D49872907C0E07D7AC2z3EDP" TargetMode = "External"/>
	<Relationship Id="rId16" Type="http://schemas.openxmlformats.org/officeDocument/2006/relationships/hyperlink" Target="consultantplus://offline/ref=537A5D195CFB682CBF15F315A2C9A46215C310ABEF483D0FB24255A67E622C7B7D3DFA9C38ABA85D49872907C0E07D7AC2z3EDP" TargetMode = "External"/>
	<Relationship Id="rId17" Type="http://schemas.openxmlformats.org/officeDocument/2006/relationships/hyperlink" Target="consultantplus://offline/ref=537A5D195CFB682CBF15F315A2C9A46215C310ABEF4B390BB54055A67E622C7B7D3DFA9C38ABA85D49872907C0E07D7AC2z3EDP" TargetMode = "External"/>
	<Relationship Id="rId18" Type="http://schemas.openxmlformats.org/officeDocument/2006/relationships/hyperlink" Target="consultantplus://offline/ref=537A5D195CFB682CBF15F315A2C9A46215C310ABEF4B3409B34355A67E622C7B7D3DFA9C38ABA85D49872907C0E07D7AC2z3EDP" TargetMode = "External"/>
	<Relationship Id="rId19" Type="http://schemas.openxmlformats.org/officeDocument/2006/relationships/hyperlink" Target="consultantplus://offline/ref=537A5D195CFB682CBF15F315A2C9A46215C310ABEF483D0DB34A55A67E622C7B7D3DFA9C38ABA85D49872907C0E07D7AC2z3EDP" TargetMode = "External"/>
	<Relationship Id="rId20" Type="http://schemas.openxmlformats.org/officeDocument/2006/relationships/hyperlink" Target="consultantplus://offline/ref=537A5D195CFB682CBF15F315A2C9A46215C310ABEF4A3C01BA4355A67E622C7B7D3DFA9C38ABA85D49872907C0E07D7AC2z3EDP" TargetMode = "External"/>
	<Relationship Id="rId21" Type="http://schemas.openxmlformats.org/officeDocument/2006/relationships/hyperlink" Target="consultantplus://offline/ref=537A5D195CFB682CBF15F315A2C9A46215C310ABEF443D0AB74B55A67E622C7B7D3DFA9C38ABA85D49872907C0E07D7AC2z3EDP" TargetMode = "External"/>
	<Relationship Id="rId22" Type="http://schemas.openxmlformats.org/officeDocument/2006/relationships/hyperlink" Target="consultantplus://offline/ref=3183C1E6AF74DCB8F1045566D0526066566A602602F0EEC91A44186D484B587B3D768F11F60F7B1C89FC41EB6727EF993808EAP" TargetMode = "External"/>
	<Relationship Id="rId23" Type="http://schemas.openxmlformats.org/officeDocument/2006/relationships/hyperlink" Target="consultantplus://offline/ref=3183C1E6AF74DCB8F1044B6BC63E3E6C50623A2C03F7E4964E111E3A171B5E2E7D368941A04D281ADDA41BBE6B39E4873A88134947660BE9P" TargetMode = "External"/>
	<Relationship Id="rId24" Type="http://schemas.openxmlformats.org/officeDocument/2006/relationships/hyperlink" Target="consultantplus://offline/ref=3183C1E6AF74DCB8F1044B6BC63E3E6C5061372A06F3E4964E111E3A171B5E2E6F36D148A742301188EB5DEB6403EAP" TargetMode = "External"/>
	<Relationship Id="rId25" Type="http://schemas.openxmlformats.org/officeDocument/2006/relationships/hyperlink" Target="consultantplus://offline/ref=3183C1E6AF74DCB8F1045566D0526066566A602602F5E8C21B44186D484B587B3D768F11F60F7B1C89FC41EB6727EF993808EAP" TargetMode = "External"/>
	<Relationship Id="rId26" Type="http://schemas.openxmlformats.org/officeDocument/2006/relationships/hyperlink" Target="consultantplus://offline/ref=3183C1E6AF74DCB8F1044B6BC63E3E6C5060372D06F5E4964E111E3A171B5E2E6F36D148A742301188EB5DEB6403EAP" TargetMode = "External"/>
	<Relationship Id="rId27" Type="http://schemas.openxmlformats.org/officeDocument/2006/relationships/hyperlink" Target="consultantplus://offline/ref=3183C1E6AF74DCB8F1045566D0526066566A602602F5E8C21B44186D484B587B3D768F11F60F7B1C89FC41EB6727EF993808EAP" TargetMode = "External"/>
	<Relationship Id="rId28" Type="http://schemas.openxmlformats.org/officeDocument/2006/relationships/hyperlink" Target="consultantplus://offline/ref=3183C1E6AF74DCB8F1045566D0526066566A602602F1EBC01144186D484B587B3D768F11F60F7B1C89FC41EB6727EF993808EAP" TargetMode = "External"/>
	<Relationship Id="rId29" Type="http://schemas.openxmlformats.org/officeDocument/2006/relationships/hyperlink" Target="consultantplus://offline/ref=3183C1E6AF74DCB8F1045566D0526066566A602602F1EBC31547186D484B587B3D768F11F60F7B1C89FC41EB6727EF993808EAP" TargetMode = "External"/>
	<Relationship Id="rId30" Type="http://schemas.openxmlformats.org/officeDocument/2006/relationships/hyperlink" Target="consultantplus://offline/ref=3183C1E6AF74DCB8F1044B6BC63E3E6C5769372907FEE4964E111E3A171B5E2E6F36D148A742301188EB5DEB6403EAP" TargetMode = "External"/>
	<Relationship Id="rId31" Type="http://schemas.openxmlformats.org/officeDocument/2006/relationships/hyperlink" Target="consultantplus://offline/ref=3183C1E6AF74DCB8F1044B6BC63E3E6C57603C2B07F6E4964E111E3A171B5E2E6F36D148A742301188EB5DEB6403EAP" TargetMode = "External"/>
	<Relationship Id="rId32" Type="http://schemas.openxmlformats.org/officeDocument/2006/relationships/hyperlink" Target="consultantplus://offline/ref=3183C1E6AF74DCB8F1044B6BC63E3E6C5769372907FEE4964E111E3A171B5E2E6F36D148A742301188EB5DEB6403EAP" TargetMode = "External"/>
	<Relationship Id="rId33" Type="http://schemas.openxmlformats.org/officeDocument/2006/relationships/hyperlink" Target="consultantplus://offline/ref=3183C1E6AF74DCB8F1044B6BC63E3E6C5769372A0BF0E4964E111E3A171B5E2E6F36D148A742301188EB5DEB6403EAP" TargetMode = "External"/>
	<Relationship Id="rId34" Type="http://schemas.openxmlformats.org/officeDocument/2006/relationships/hyperlink" Target="consultantplus://offline/ref=3183C1E6AF74DCB8F1044B6BC63E3E6C5063392802F2E4964E111E3A171B5E2E7D368944A74B2E1089FE0BBA226CE09933970D4A5966BA8804EAP" TargetMode = "External"/>
	<Relationship Id="rId35" Type="http://schemas.openxmlformats.org/officeDocument/2006/relationships/hyperlink" Target="consultantplus://offline/ref=3183C1E6AF74DCB8F1045566D0526066566A602602F0EAC21242186D484B587B3D768F11F60F7B1C89FC41EB6727EF993808EAP" TargetMode = "External"/>
	<Relationship Id="rId36" Type="http://schemas.openxmlformats.org/officeDocument/2006/relationships/hyperlink" Target="consultantplus://offline/ref=3183C1E6AF74DCB8F1045566D0526066566A602602F0EAC21242186D484B587B3D768F11F60F7B1C89FC41EB6727EF993808EAP" TargetMode = "External"/>
	<Relationship Id="rId37" Type="http://schemas.openxmlformats.org/officeDocument/2006/relationships/hyperlink" Target="consultantplus://offline/ref=3183C1E6AF74DCB8F1044B6BC63E3E6C50623A2C03F7E4964E111E3A171B5E2E7D368944A7482B1481FE0BBA226CE09933970D4A5966BA8804EAP" TargetMode = "External"/>
	<Relationship Id="rId38" Type="http://schemas.openxmlformats.org/officeDocument/2006/relationships/hyperlink" Target="consultantplus://offline/ref=3183C1E6AF74DCB8F1044B6BC63E3E6C5764362B01F0E4964E111E3A171B5E2E6F36D148A742301188EB5DEB6403EAP" TargetMode = "External"/>
	<Relationship Id="rId39" Type="http://schemas.openxmlformats.org/officeDocument/2006/relationships/hyperlink" Target="consultantplus://offline/ref=3183C1E6AF74DCB8F1044B6BC63E3E6C5764392201F1E4964E111E3A171B5E2E6F36D148A742301188EB5DEB6403EAP" TargetMode = "External"/>
	<Relationship Id="rId40" Type="http://schemas.openxmlformats.org/officeDocument/2006/relationships/hyperlink" Target="consultantplus://offline/ref=3183C1E6AF74DCB8F1044B6BC63E3E6C50613A2F00FFE4964E111E3A171B5E2E7D368944A74B2D1380FE0BBA226CE09933970D4A5966BA8804EAP" TargetMode = "External"/>
	<Relationship Id="rId41" Type="http://schemas.openxmlformats.org/officeDocument/2006/relationships/hyperlink" Target="consultantplus://offline/ref=3183C1E6AF74DCB8F1044B6BC63E3E6C50613A2F00FFE4964E111E3A171B5E2E7D368944A74B2D168DFE0BBA226CE09933970D4A5966BA8804EAP" TargetMode = "External"/>
	<Relationship Id="rId42" Type="http://schemas.openxmlformats.org/officeDocument/2006/relationships/hyperlink" Target="consultantplus://offline/ref=3183C1E6AF74DCB8F1044B6BC63E3E6C5767362201FEE4964E111E3A171B5E2E6F36D148A742301188EB5DEB6403EAP" TargetMode = "External"/>
	<Relationship Id="rId43" Type="http://schemas.openxmlformats.org/officeDocument/2006/relationships/hyperlink" Target="consultantplus://offline/ref=3183C1E6AF74DCB8F1044B6BC63E3E6C50623A2C03F7E4964E111E3A171B5E2E7D368941A74B2B1ADDA41BBE6B39E4873A88134947660BE9P" TargetMode = "External"/>
	<Relationship Id="rId44" Type="http://schemas.openxmlformats.org/officeDocument/2006/relationships/hyperlink" Target="consultantplus://offline/ref=3183C1E6AF74DCB8F1044B6BC63E3E6C5669392E08A0B3941F44103F1F4B043E6B7F844CB94B2F0F8BF55D0EE8P" TargetMode = "External"/>
	<Relationship Id="rId45" Type="http://schemas.openxmlformats.org/officeDocument/2006/relationships/hyperlink" Target="consultantplus://offline/ref=3183C1E6AF74DCB8F1045566D0526066566A602602F3EEC71142186D484B587B3D768F11F60F7B1C89FC41EB6727EF993808EAP" TargetMode = "External"/>
	<Relationship Id="rId46" Type="http://schemas.openxmlformats.org/officeDocument/2006/relationships/hyperlink" Target="consultantplus://offline/ref=3183C1E6AF74DCB8F1044B6BC63E3E6C50623A2C03F7E4964E111E3A171B5E2E7D368941A74B2B1ADDA41BBE6B39E4873A88134947660BE9P" TargetMode = "External"/>
	<Relationship Id="rId47" Type="http://schemas.openxmlformats.org/officeDocument/2006/relationships/hyperlink" Target="consultantplus://offline/ref=3183C1E6AF74DCB8F1045566D0526066566A602602F3EEC71142186D484B587B3D768F11F60F7B1C89FC41EB6727EF993808EAP" TargetMode = "External"/>
	<Relationship Id="rId48" Type="http://schemas.openxmlformats.org/officeDocument/2006/relationships/hyperlink" Target="consultantplus://offline/ref=3183C1E6AF74DCB8F1044B6BC63E3E6C50623E2804F3E4964E111E3A171B5E2E6F36D148A742301188EB5DEB6403EAP" TargetMode = "External"/>
	<Relationship Id="rId49" Type="http://schemas.openxmlformats.org/officeDocument/2006/relationships/hyperlink" Target="consultantplus://offline/ref=3183C1E6AF74DCB8F1044B6BC63E3E6C50623D2C03F7E4964E111E3A171B5E2E6F36D148A742301188EB5DEB6403EAP" TargetMode = "External"/>
	<Relationship Id="rId50" Type="http://schemas.openxmlformats.org/officeDocument/2006/relationships/hyperlink" Target="consultantplus://offline/ref=3183C1E6AF74DCB8F1044B6BC63E3E6C576538230AF7E4964E111E3A171B5E2E6F36D148A742301188EB5DEB6403EAP" TargetMode = "External"/>
	<Relationship Id="rId51" Type="http://schemas.openxmlformats.org/officeDocument/2006/relationships/hyperlink" Target="consultantplus://offline/ref=3183C1E6AF74DCB8F1045566D0526066566A602602F3E9C31A4D186D484B587B3D768F11F60F7B1C89FC41EB6727EF993808EAP" TargetMode = "External"/>
	<Relationship Id="rId52" Type="http://schemas.openxmlformats.org/officeDocument/2006/relationships/hyperlink" Target="consultantplus://offline/ref=3183C1E6AF74DCB8F1044B6BC63E3E6C57693D2F07F1E4964E111E3A171B5E2E6F36D148A742301188EB5DEB6403EAP" TargetMode = "External"/>
	<Relationship Id="rId53" Type="http://schemas.openxmlformats.org/officeDocument/2006/relationships/hyperlink" Target="consultantplus://offline/ref=3183C1E6AF74DCB8F1044B6BC63E3E6C57693D2F07F1E4964E111E3A171B5E2E6F36D148A742301188EB5DEB6403EAP" TargetMode = "External"/>
	<Relationship Id="rId54" Type="http://schemas.openxmlformats.org/officeDocument/2006/relationships/hyperlink" Target="consultantplus://offline/ref=3183C1E6AF74DCB8F1044B6BC63E3E6C5764382302F4E4964E111E3A171B5E2E6F36D148A742301188EB5DEB6403EAP" TargetMode = "External"/>
	<Relationship Id="rId55" Type="http://schemas.openxmlformats.org/officeDocument/2006/relationships/hyperlink" Target="consultantplus://offline/ref=3183C1E6AF74DCB8F1044B6BC63E3E6C57663C2D00F0E4964E111E3A171B5E2E6F36D148A742301188EB5DEB6403EAP" TargetMode = "External"/>
	<Relationship Id="rId56" Type="http://schemas.openxmlformats.org/officeDocument/2006/relationships/hyperlink" Target="consultantplus://offline/ref=3183C1E6AF74DCB8F1044B6BC63E3E6C57693D2F07F1E4964E111E3A171B5E2E6F36D148A742301188EB5DEB6403EAP" TargetMode = "External"/>
	<Relationship Id="rId57" Type="http://schemas.openxmlformats.org/officeDocument/2006/relationships/hyperlink" Target="consultantplus://offline/ref=3183C1E6AF74DCB8F1044B6BC63E3E6C57693D2F07F1E4964E111E3A171B5E2E6F36D148A742301188EB5DEB6403EAP" TargetMode = "External"/>
	<Relationship Id="rId58" Type="http://schemas.openxmlformats.org/officeDocument/2006/relationships/hyperlink" Target="consultantplus://offline/ref=3183C1E6AF74DCB8F1044B6BC63E3E6C57643E2F00F1E4964E111E3A171B5E2E7D368944A74B2E1181FE0BBA226CE09933970D4A5966BA8804EAP" TargetMode = "External"/>
	<Relationship Id="rId59" Type="http://schemas.openxmlformats.org/officeDocument/2006/relationships/hyperlink" Target="consultantplus://offline/ref=3183C1E6AF74DCB8F1044B6BC63E3E6C50623E2C0BF6E4964E111E3A171B5E2E7D368944A74B2E1389FE0BBA226CE09933970D4A5966BA8804EAP" TargetMode = "External"/>
	<Relationship Id="rId60" Type="http://schemas.openxmlformats.org/officeDocument/2006/relationships/hyperlink" Target="consultantplus://offline/ref=3183C1E6AF74DCB8F1045566D0526066566A602602F0E6C81343186D484B587B3D768F11F60F7B1C89FC41EB6727EF993808EAP" TargetMode = "External"/>
	<Relationship Id="rId61" Type="http://schemas.openxmlformats.org/officeDocument/2006/relationships/hyperlink" Target="consultantplus://offline/ref=3183C1E6AF74DCB8F1044B6BC63E3E6C5563372800F3E4964E111E3A171B5E2E6F36D148A742301188EB5DEB6403EAP" TargetMode = "External"/>
	<Relationship Id="rId62" Type="http://schemas.openxmlformats.org/officeDocument/2006/relationships/hyperlink" Target="consultantplus://offline/ref=3183C1E6AF74DCB8F1044B6BC63E3E6C5063362805FFE4964E111E3A171B5E2E6F36D148A742301188EB5DEB6403EAP" TargetMode = "External"/>
	<Relationship Id="rId63" Type="http://schemas.openxmlformats.org/officeDocument/2006/relationships/hyperlink" Target="consultantplus://offline/ref=3183C1E6AF74DCB8F1044B6BC63E3E6C57693A2901FEE4964E111E3A171B5E2E6F36D148A742301188EB5DEB6403EAP" TargetMode = "External"/>
	<Relationship Id="rId64" Type="http://schemas.openxmlformats.org/officeDocument/2006/relationships/hyperlink" Target="consultantplus://offline/ref=3183C1E6AF74DCB8F1044B6BC63E3E6C50623A2C03F7E4964E111E3A171B5E2E6F36D148A742301188EB5DEB6403EAP" TargetMode = "External"/>
	<Relationship Id="rId65" Type="http://schemas.openxmlformats.org/officeDocument/2006/relationships/hyperlink" Target="consultantplus://offline/ref=3183C1E6AF74DCB8F1045566D0526066566A602602F1EAC11B46186D484B587B3D768F11F60F7B1C89FC41EB6727EF993808EAP" TargetMode = "External"/>
	<Relationship Id="rId66" Type="http://schemas.openxmlformats.org/officeDocument/2006/relationships/hyperlink" Target="consultantplus://offline/ref=3183C1E6AF74DCB8F1045566D0526066566A602602F0EAC21242186D484B587B3D768F11F60F7B1C89FC41EB6727EF993808EAP" TargetMode = "External"/>
	<Relationship Id="rId67" Type="http://schemas.openxmlformats.org/officeDocument/2006/relationships/hyperlink" Target="consultantplus://offline/ref=3183C1E6AF74DCB8F1045566D0526066566A602602F0EAC21242186D484B587B3D768F11F60F7B1C89FC41EB6727EF993808EAP" TargetMode = "External"/>
	<Relationship Id="rId68" Type="http://schemas.openxmlformats.org/officeDocument/2006/relationships/hyperlink" Target="consultantplus://offline/ref=3183C1E6AF74DCB8F1044B6BC63E3E6C50623A2C03F7E4964E111E3A171B5E2E7D368944A74928168EFE0BBA226CE09933970D4A5966BA8804EAP" TargetMode = "External"/>
	<Relationship Id="rId69" Type="http://schemas.openxmlformats.org/officeDocument/2006/relationships/hyperlink" Target="consultantplus://offline/ref=3183C1E6AF74DCB8F1044B6BC63E3E6C50623A2C03F7E4964E111E3A171B5E2E6F36D148A742301188EB5DEB6403EAP" TargetMode = "External"/>
	<Relationship Id="rId70" Type="http://schemas.openxmlformats.org/officeDocument/2006/relationships/hyperlink" Target="consultantplus://offline/ref=3183C1E6AF74DCB8F1045566D0526066566A602602F3EEC71142186D484B587B3D768F11F60F7B1C89FC41EB6727EF993808EAP" TargetMode = "External"/>
	<Relationship Id="rId71" Type="http://schemas.openxmlformats.org/officeDocument/2006/relationships/hyperlink" Target="consultantplus://offline/ref=3183C1E6AF74DCB8F1044B6BC63E3E6C50613B2D0AF1E4964E111E3A171B5E2E6F36D148A742301188EB5DEB6403EAP" TargetMode = "External"/>
	<Relationship Id="rId72" Type="http://schemas.openxmlformats.org/officeDocument/2006/relationships/hyperlink" Target="consultantplus://offline/ref=3183C1E6AF74DCB8F1044B6BC63E3E6C5764362B01F0E4964E111E3A171B5E2E6F36D148A742301188EB5DEB6403EAP" TargetMode = "External"/>
	<Relationship Id="rId73" Type="http://schemas.openxmlformats.org/officeDocument/2006/relationships/hyperlink" Target="consultantplus://offline/ref=3183C1E6AF74DCB8F1044B6BC63E3E6C5764392201F1E4964E111E3A171B5E2E6F36D148A742301188EB5DEB6403EAP" TargetMode = "External"/>
	<Relationship Id="rId74" Type="http://schemas.openxmlformats.org/officeDocument/2006/relationships/hyperlink" Target="consultantplus://offline/ref=3183C1E6AF74DCB8F1044B6BC63E3E6C5766362D0AF2E4964E111E3A171B5E2E6F36D148A742301188EB5DEB6403EAP" TargetMode = "External"/>
	<Relationship Id="rId75" Type="http://schemas.openxmlformats.org/officeDocument/2006/relationships/hyperlink" Target="consultantplus://offline/ref=3183C1E6AF74DCB8F1044B6BC63E3E6C5563372807F2E4964E111E3A171B5E2E6F36D148A742301188EB5DEB6403EAP" TargetMode = "External"/>
	<Relationship Id="rId76" Type="http://schemas.openxmlformats.org/officeDocument/2006/relationships/hyperlink" Target="consultantplus://offline/ref=3183C1E6AF74DCB8F1044B6BC63E3E6C5563372807F2E4964E111E3A171B5E2E6F36D148A742301188EB5DEB6403EAP" TargetMode = "External"/>
	<Relationship Id="rId77" Type="http://schemas.openxmlformats.org/officeDocument/2006/relationships/hyperlink" Target="consultantplus://offline/ref=3183C1E6AF74DCB8F1044B6BC63E3E6C55623E2E02F0E4964E111E3A171B5E2E6F36D148A742301188EB5DEB6403EAP" TargetMode = "External"/>
	<Relationship Id="rId78" Type="http://schemas.openxmlformats.org/officeDocument/2006/relationships/hyperlink" Target="consultantplus://offline/ref=3183C1E6AF74DCB8F1044B6BC63E3E6C50623E2804F3E4964E111E3A171B5E2E6F36D148A742301188EB5DEB6403EAP" TargetMode = "External"/>
	<Relationship Id="rId79" Type="http://schemas.openxmlformats.org/officeDocument/2006/relationships/hyperlink" Target="consultantplus://offline/ref=3183C1E6AF74DCB8F1045566D0526066566A602602F0E8C91647186D484B587B3D768F11F60F7B1C89FC41EB6727EF993808EAP" TargetMode = "External"/>
	<Relationship Id="rId80" Type="http://schemas.openxmlformats.org/officeDocument/2006/relationships/header" Target="header2.xml"/>
	<Relationship Id="rId81" Type="http://schemas.openxmlformats.org/officeDocument/2006/relationships/footer" Target="footer2.xml"/>
	<Relationship Id="rId82" Type="http://schemas.openxmlformats.org/officeDocument/2006/relationships/hyperlink" Target="consultantplus://offline/ref=3183C1E6AF74DCB8F1044B6BC63E3E6C5764362D0BF0E4964E111E3A171B5E2E6F36D148A742301188EB5DEB6403EAP" TargetMode = "External"/>
	<Relationship Id="rId83" Type="http://schemas.openxmlformats.org/officeDocument/2006/relationships/hyperlink" Target="consultantplus://offline/ref=3183C1E6AF74DCB8F1044B6BC63E3E6C50603A2305F6E4964E111E3A171B5E2E7D368944A74B2E1081FE0BBA226CE09933970D4A5966BA8804EAP" TargetMode = "External"/>
	<Relationship Id="rId84" Type="http://schemas.openxmlformats.org/officeDocument/2006/relationships/hyperlink" Target="consultantplus://offline/ref=3183C1E6AF74DCB8F1044B6BC63E3E6C57663F2E0AF2E4964E111E3A171B5E2E7D368944A74B2E158EFE0BBA226CE09933970D4A5966BA8804EAP" TargetMode = "External"/>
	<Relationship Id="rId85" Type="http://schemas.openxmlformats.org/officeDocument/2006/relationships/hyperlink" Target="consultantplus://offline/ref=3183C1E6AF74DCB8F1044B6BC63E3E6C50603A2305F6E4964E111E3A171B5E2E7D368944A74B2E1081FE0BBA226CE09933970D4A5966BA8804EAP" TargetMode = "External"/>
	<Relationship Id="rId86" Type="http://schemas.openxmlformats.org/officeDocument/2006/relationships/hyperlink" Target="consultantplus://offline/ref=3183C1E6AF74DCB8F1044B6BC63E3E6C57663F2E0AF2E4964E111E3A171B5E2E7D368944A74B2E158EFE0BBA226CE09933970D4A5966BA8804EAP" TargetMode = "External"/>
	<Relationship Id="rId87" Type="http://schemas.openxmlformats.org/officeDocument/2006/relationships/hyperlink" Target="consultantplus://offline/ref=3183C1E6AF74DCB8F1044B6BC63E3E6C5563372807F2E4964E111E3A171B5E2E6F36D148A742301188EB5DEB6403EAP" TargetMode = "External"/>
	<Relationship Id="rId88" Type="http://schemas.openxmlformats.org/officeDocument/2006/relationships/hyperlink" Target="consultantplus://offline/ref=3183C1E6AF74DCB8F1044B6BC63E3E6C55623E2E02F0E4964E111E3A171B5E2E6F36D148A742301188EB5DEB6403EAP" TargetMode = "External"/>
	<Relationship Id="rId89" Type="http://schemas.openxmlformats.org/officeDocument/2006/relationships/hyperlink" Target="consultantplus://offline/ref=3183C1E6AF74DCB8F1044B6BC63E3E6C50623A2C06F7E4964E111E3A171B5E2E6F36D148A742301188EB5DEB6403EAP" TargetMode = "External"/>
	<Relationship Id="rId90" Type="http://schemas.openxmlformats.org/officeDocument/2006/relationships/hyperlink" Target="consultantplus://offline/ref=3183C1E6AF74DCB8F1044B6BC63E3E6C5060392206FEE4964E111E3A171B5E2E7D368944A14B2545D8B10AE66630F3993B970F4B4506E7P"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foot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4022.00.55</Application>
  <Company>КонсультантПлюс Версия 4022.00.55</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Распоряжение администрации Владимирской обл. от 05.07.2021 N 512-р
"Об утверждении исходных данных для составления проекта областного бюджета на 2022 год и на плановый период 2023 и 2024 годов"
(вместе с "Основными направлениями налоговой политики Владимирской области на 2022 год и на плановый период 2023 и 2024 годов", "Основными направлениями бюджетной политики Владимирской области на 2022 год и на плановый период 2023 и 2024 годов")</dc:title>
  <dcterms:created xsi:type="dcterms:W3CDTF">2023-01-09T15:04:49Z</dcterms:created>
</cp:coreProperties>
</file>