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администрации Владимирской обл. от 07.07.2020 N 523-р</w:t>
              <w:br/>
              <w:t xml:space="preserve">(ред. от 17.08.2020)</w:t>
              <w:br/>
              <w:t xml:space="preserve">"Об утверждении исходных данных для составления проекта областного бюджета на 2021 год и на плановый период 2022 и 2023 годов"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09.01.2023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ВЛАДИМИРСКОЙ ОБЛАСТИ</w:t>
      </w:r>
    </w:p>
    <w:p>
      <w:pPr>
        <w:pStyle w:val="2"/>
        <w:jc w:val="both"/>
      </w:pPr>
      <w:r>
        <w:rPr>
          <w:sz w:val="20"/>
        </w:rPr>
      </w:r>
    </w:p>
    <w:p>
      <w:pPr>
        <w:pStyle w:val="2"/>
        <w:jc w:val="center"/>
      </w:pPr>
      <w:r>
        <w:rPr>
          <w:sz w:val="20"/>
        </w:rPr>
        <w:t xml:space="preserve">РАСПОРЯЖЕНИЕ</w:t>
      </w:r>
    </w:p>
    <w:p>
      <w:pPr>
        <w:pStyle w:val="2"/>
        <w:jc w:val="center"/>
      </w:pPr>
      <w:r>
        <w:rPr>
          <w:sz w:val="20"/>
        </w:rPr>
        <w:t xml:space="preserve">от 7 июля 2020 г. N 523-р</w:t>
      </w:r>
    </w:p>
    <w:p>
      <w:pPr>
        <w:pStyle w:val="2"/>
        <w:jc w:val="both"/>
      </w:pPr>
      <w:r>
        <w:rPr>
          <w:sz w:val="20"/>
        </w:rPr>
      </w:r>
    </w:p>
    <w:p>
      <w:pPr>
        <w:pStyle w:val="2"/>
        <w:jc w:val="center"/>
      </w:pPr>
      <w:r>
        <w:rPr>
          <w:sz w:val="20"/>
        </w:rPr>
        <w:t xml:space="preserve">ОБ УТВЕРЖДЕНИИ ИСХОДНЫХ ДАННЫХ ДЛЯ СОСТАВЛЕНИЯ ПРОЕКТА</w:t>
      </w:r>
    </w:p>
    <w:p>
      <w:pPr>
        <w:pStyle w:val="2"/>
        <w:jc w:val="center"/>
      </w:pPr>
      <w:r>
        <w:rPr>
          <w:sz w:val="20"/>
        </w:rPr>
        <w:t xml:space="preserve">ОБЛАСТНОГО БЮДЖЕТА НА 2021 ГОД И НА ПЛАНОВЫЙ ПЕРИОД</w:t>
      </w:r>
    </w:p>
    <w:p>
      <w:pPr>
        <w:pStyle w:val="2"/>
        <w:jc w:val="center"/>
      </w:pPr>
      <w:r>
        <w:rPr>
          <w:sz w:val="20"/>
        </w:rPr>
        <w:t xml:space="preserve">2022 И 2023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Распоряжение администрации Владимирской обл. от 17.08.2020 N 664-р &quot;О внесении изменения в распоряжение администрации области от 07.07.2020 N 523-р&quot; {КонсультантПлюс}">
              <w:r>
                <w:rPr>
                  <w:sz w:val="20"/>
                  <w:color w:val="0000ff"/>
                </w:rPr>
                <w:t xml:space="preserve">распоряжения</w:t>
              </w:r>
            </w:hyperlink>
            <w:r>
              <w:rPr>
                <w:sz w:val="20"/>
                <w:color w:val="392c69"/>
              </w:rPr>
              <w:t xml:space="preserve"> администрации Владимирской области</w:t>
            </w:r>
          </w:p>
          <w:p>
            <w:pPr>
              <w:pStyle w:val="0"/>
              <w:jc w:val="center"/>
            </w:pPr>
            <w:r>
              <w:rPr>
                <w:sz w:val="20"/>
                <w:color w:val="392c69"/>
              </w:rPr>
              <w:t xml:space="preserve">от 17.08.2020 N 664-р)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8" w:tooltip="Закон Владимирской области от 24.11.2000 N 82-ОЗ (ред. от 09.11.2021) &quot;О бюджетном процессе во Владимирской области&quot; (принят постановлением ЗС Владимирской области от 15.11.2000 N 370) ------------ Недействующая редакция {КонсультантПлюс}">
        <w:r>
          <w:rPr>
            <w:sz w:val="20"/>
            <w:color w:val="0000ff"/>
          </w:rPr>
          <w:t xml:space="preserve">Законом</w:t>
        </w:r>
      </w:hyperlink>
      <w:r>
        <w:rPr>
          <w:sz w:val="20"/>
        </w:rPr>
        <w:t xml:space="preserve"> Владимирской области от 24.11.2000 N 82-ОЗ "О бюджетном процессе во Владимирской области", </w:t>
      </w:r>
      <w:hyperlink w:history="0" r:id="rId9" w:tooltip="Распоряжение администрации Владимирской обл. от 17.05.2019 N 419-р (ред. от 01.07.2022) &quot;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quot; (вместе с &quot;Положением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quot;) {КонсультантПлюс}">
        <w:r>
          <w:rPr>
            <w:sz w:val="20"/>
            <w:color w:val="0000ff"/>
          </w:rPr>
          <w:t xml:space="preserve">распоряжением</w:t>
        </w:r>
      </w:hyperlink>
      <w:r>
        <w:rPr>
          <w:sz w:val="20"/>
        </w:rPr>
        <w:t xml:space="preserve"> администрации области от 17.05.2019 N 419-р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 и в целях составления проекта областного бюджета на 2021 год и на плановый период 2022 и 2023 годов:</w:t>
      </w:r>
    </w:p>
    <w:p>
      <w:pPr>
        <w:pStyle w:val="0"/>
        <w:spacing w:before="200" w:line-rule="auto"/>
        <w:ind w:firstLine="540"/>
        <w:jc w:val="both"/>
      </w:pPr>
      <w:r>
        <w:rPr>
          <w:sz w:val="20"/>
        </w:rPr>
        <w:t xml:space="preserve">1. Утвердить:</w:t>
      </w:r>
    </w:p>
    <w:p>
      <w:pPr>
        <w:pStyle w:val="0"/>
        <w:spacing w:before="200" w:line-rule="auto"/>
        <w:ind w:firstLine="540"/>
        <w:jc w:val="both"/>
      </w:pPr>
      <w:r>
        <w:rPr>
          <w:sz w:val="20"/>
        </w:rPr>
        <w:t xml:space="preserve">1.1. Основные </w:t>
      </w:r>
      <w:hyperlink w:history="0" w:anchor="P42" w:tooltip="ОСНОВНЫЕ НАПРАВЛЕНИЯ">
        <w:r>
          <w:rPr>
            <w:sz w:val="20"/>
            <w:color w:val="0000ff"/>
          </w:rPr>
          <w:t xml:space="preserve">направления</w:t>
        </w:r>
      </w:hyperlink>
      <w:r>
        <w:rPr>
          <w:sz w:val="20"/>
        </w:rPr>
        <w:t xml:space="preserve"> налоговой политики Владимирской области на 2021 год и на плановый период 2022 и 2023 годов согласно приложению N 1.</w:t>
      </w:r>
    </w:p>
    <w:p>
      <w:pPr>
        <w:pStyle w:val="0"/>
        <w:spacing w:before="200" w:line-rule="auto"/>
        <w:ind w:firstLine="540"/>
        <w:jc w:val="both"/>
      </w:pPr>
      <w:r>
        <w:rPr>
          <w:sz w:val="20"/>
        </w:rPr>
        <w:t xml:space="preserve">1.2. Основные </w:t>
      </w:r>
      <w:hyperlink w:history="0" w:anchor="P482" w:tooltip="ОСНОВНЫЕ НАПРАВЛЕНИЯ">
        <w:r>
          <w:rPr>
            <w:sz w:val="20"/>
            <w:color w:val="0000ff"/>
          </w:rPr>
          <w:t xml:space="preserve">направления</w:t>
        </w:r>
      </w:hyperlink>
      <w:r>
        <w:rPr>
          <w:sz w:val="20"/>
        </w:rPr>
        <w:t xml:space="preserve"> бюджетной политики Владимирской области на 2021 год и на плановый период 2022 и 2023 годов согласно приложению N 2.</w:t>
      </w:r>
    </w:p>
    <w:p>
      <w:pPr>
        <w:pStyle w:val="0"/>
        <w:spacing w:before="200" w:line-rule="auto"/>
        <w:ind w:firstLine="540"/>
        <w:jc w:val="both"/>
      </w:pPr>
      <w:r>
        <w:rPr>
          <w:sz w:val="20"/>
        </w:rPr>
        <w:t xml:space="preserve">1.3. Основные </w:t>
      </w:r>
      <w:hyperlink w:history="0" w:anchor="P713" w:tooltip="ОСНОВНЫЕ ПОКАЗАТЕЛИ">
        <w:r>
          <w:rPr>
            <w:sz w:val="20"/>
            <w:color w:val="0000ff"/>
          </w:rPr>
          <w:t xml:space="preserve">показатели</w:t>
        </w:r>
      </w:hyperlink>
      <w:r>
        <w:rPr>
          <w:sz w:val="20"/>
        </w:rPr>
        <w:t xml:space="preserve"> консолидированного бюджета Владимирской области на 2021 год и на плановый период 2022 и 2023 годов согласно приложению N 3.</w:t>
      </w:r>
    </w:p>
    <w:p>
      <w:pPr>
        <w:pStyle w:val="0"/>
        <w:spacing w:before="200" w:line-rule="auto"/>
        <w:ind w:firstLine="540"/>
        <w:jc w:val="both"/>
      </w:pPr>
      <w:r>
        <w:rPr>
          <w:sz w:val="20"/>
        </w:rPr>
        <w:t xml:space="preserve">1.4. Основные </w:t>
      </w:r>
      <w:hyperlink w:history="0" w:anchor="P758" w:tooltip="ОСНОВНЫЕ ХАРАКТЕРИСТИКИ">
        <w:r>
          <w:rPr>
            <w:sz w:val="20"/>
            <w:color w:val="0000ff"/>
          </w:rPr>
          <w:t xml:space="preserve">характеристики</w:t>
        </w:r>
      </w:hyperlink>
      <w:r>
        <w:rPr>
          <w:sz w:val="20"/>
        </w:rPr>
        <w:t xml:space="preserve"> областного бюджета на 2021 год и на плановый период 2022 и 2023 годов согласно приложению N 4.</w:t>
      </w:r>
    </w:p>
    <w:p>
      <w:pPr>
        <w:pStyle w:val="0"/>
        <w:spacing w:before="200" w:line-rule="auto"/>
        <w:ind w:firstLine="540"/>
        <w:jc w:val="both"/>
      </w:pPr>
      <w:r>
        <w:rPr>
          <w:sz w:val="20"/>
        </w:rPr>
        <w:t xml:space="preserve">1.5. </w:t>
      </w:r>
      <w:hyperlink w:history="0" w:anchor="P842" w:tooltip="РАСПРЕДЕЛЕНИЕ">
        <w:r>
          <w:rPr>
            <w:sz w:val="20"/>
            <w:color w:val="0000ff"/>
          </w:rPr>
          <w:t xml:space="preserve">Распределение</w:t>
        </w:r>
      </w:hyperlink>
      <w:r>
        <w:rPr>
          <w:sz w:val="20"/>
        </w:rPr>
        <w:t xml:space="preserve"> бюджетных ассигнований на исполнение действующих обязательств Владимирской области по главным распорядителям средств областного бюджета на 2021 год и на плановый период 2022 и 2023 годов согласно приложению N 5.</w:t>
      </w:r>
    </w:p>
    <w:p>
      <w:pPr>
        <w:pStyle w:val="0"/>
        <w:spacing w:before="200" w:line-rule="auto"/>
        <w:ind w:firstLine="540"/>
        <w:jc w:val="both"/>
      </w:pPr>
      <w:r>
        <w:rPr>
          <w:sz w:val="20"/>
        </w:rPr>
        <w:t xml:space="preserve">1.6. </w:t>
      </w:r>
      <w:hyperlink w:history="0" w:anchor="P1050" w:tooltip="РАСПРЕДЕЛЕНИЕ">
        <w:r>
          <w:rPr>
            <w:sz w:val="20"/>
            <w:color w:val="0000ff"/>
          </w:rPr>
          <w:t xml:space="preserve">Распределение</w:t>
        </w:r>
      </w:hyperlink>
      <w:r>
        <w:rPr>
          <w:sz w:val="20"/>
        </w:rPr>
        <w:t xml:space="preserve"> бюджетных ассигнований на исполнение действующих обязательств Владимирской области по разделам классификации расходов областного бюджета на 2021 год и на плановый период 2022 и 2023 годов согласно приложению N 6.</w:t>
      </w:r>
    </w:p>
    <w:p>
      <w:pPr>
        <w:pStyle w:val="0"/>
        <w:spacing w:before="200" w:line-rule="auto"/>
        <w:ind w:firstLine="540"/>
        <w:jc w:val="both"/>
      </w:pPr>
      <w:r>
        <w:rPr>
          <w:sz w:val="20"/>
        </w:rPr>
        <w:t xml:space="preserve">1.7. </w:t>
      </w:r>
      <w:hyperlink w:history="0" w:anchor="P1343" w:tooltip="РАСПРЕДЕЛЕНИЕ">
        <w:r>
          <w:rPr>
            <w:sz w:val="20"/>
            <w:color w:val="0000ff"/>
          </w:rPr>
          <w:t xml:space="preserve">Распределение</w:t>
        </w:r>
      </w:hyperlink>
      <w:r>
        <w:rPr>
          <w:sz w:val="20"/>
        </w:rPr>
        <w:t xml:space="preserve"> бюджетных ассигнований на исполнение вновь принимаемых обязательств Владимирской области на 2021 год и на плановый период 2022 и 2023 годов согласно приложению N 7.</w:t>
      </w:r>
    </w:p>
    <w:p>
      <w:pPr>
        <w:pStyle w:val="0"/>
        <w:spacing w:before="200" w:line-rule="auto"/>
        <w:ind w:firstLine="540"/>
        <w:jc w:val="both"/>
      </w:pPr>
      <w:r>
        <w:rPr>
          <w:sz w:val="20"/>
        </w:rPr>
        <w:t xml:space="preserve">1.8. </w:t>
      </w:r>
      <w:hyperlink w:history="0" w:anchor="P1401" w:tooltip="ПЕРЕЧЕНЬ">
        <w:r>
          <w:rPr>
            <w:sz w:val="20"/>
            <w:color w:val="0000ff"/>
          </w:rPr>
          <w:t xml:space="preserve">Перечень</w:t>
        </w:r>
      </w:hyperlink>
      <w:r>
        <w:rPr>
          <w:sz w:val="20"/>
        </w:rPr>
        <w:t xml:space="preserve"> приоритетных направлений софинансирования расходных обязательств муниципальных образований Владимирской области на 2021 год и на плановый период 2022 и 2023 годов согласно приложению N 8.</w:t>
      </w:r>
    </w:p>
    <w:p>
      <w:pPr>
        <w:pStyle w:val="0"/>
        <w:spacing w:before="200" w:line-rule="auto"/>
        <w:ind w:firstLine="540"/>
        <w:jc w:val="both"/>
      </w:pPr>
      <w:r>
        <w:rPr>
          <w:sz w:val="20"/>
        </w:rPr>
        <w:t xml:space="preserve">2. Департаменту финансов, бюджетной и налоговой политики администрации области направить настоящее распоряжение в Законодательное Собрание области до 1 августа 2020 года.</w:t>
      </w:r>
    </w:p>
    <w:p>
      <w:pPr>
        <w:pStyle w:val="0"/>
        <w:spacing w:before="200" w:line-rule="auto"/>
        <w:ind w:firstLine="540"/>
        <w:jc w:val="both"/>
      </w:pPr>
      <w:r>
        <w:rPr>
          <w:sz w:val="20"/>
        </w:rPr>
        <w:t xml:space="preserve">3. Контроль за исполнением настоящего распоряжения возложить на первого заместителя Губернатора области, директора департамента финансов, бюджетной и налоговой политики администрации области.</w:t>
      </w:r>
    </w:p>
    <w:p>
      <w:pPr>
        <w:pStyle w:val="0"/>
        <w:jc w:val="both"/>
      </w:pPr>
      <w:r>
        <w:rPr>
          <w:sz w:val="20"/>
        </w:rPr>
      </w:r>
    </w:p>
    <w:p>
      <w:pPr>
        <w:pStyle w:val="0"/>
        <w:jc w:val="right"/>
      </w:pPr>
      <w:r>
        <w:rPr>
          <w:sz w:val="20"/>
        </w:rPr>
        <w:t xml:space="preserve">Губернатор области</w:t>
      </w:r>
    </w:p>
    <w:p>
      <w:pPr>
        <w:pStyle w:val="0"/>
        <w:jc w:val="right"/>
      </w:pPr>
      <w:r>
        <w:rPr>
          <w:sz w:val="20"/>
        </w:rPr>
        <w:t xml:space="preserve">В.В.СИПЯГИН</w:t>
      </w:r>
    </w:p>
    <w:p>
      <w:pPr>
        <w:pStyle w:val="0"/>
      </w:pPr>
      <w:r>
        <w:rPr>
          <w:sz w:val="20"/>
        </w:rPr>
        <w:t xml:space="preserve">Владимир</w:t>
      </w:r>
    </w:p>
    <w:p>
      <w:pPr>
        <w:pStyle w:val="0"/>
        <w:spacing w:before="200" w:line-rule="auto"/>
      </w:pPr>
      <w:r>
        <w:rPr>
          <w:sz w:val="20"/>
        </w:rPr>
        <w:t xml:space="preserve">7 июля 2020 года</w:t>
      </w:r>
    </w:p>
    <w:p>
      <w:pPr>
        <w:pStyle w:val="0"/>
        <w:spacing w:before="200" w:line-rule="auto"/>
      </w:pPr>
      <w:r>
        <w:rPr>
          <w:sz w:val="20"/>
        </w:rPr>
        <w:t xml:space="preserve">N 523-р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07.07.2020 N 523-р</w:t>
      </w:r>
    </w:p>
    <w:p>
      <w:pPr>
        <w:pStyle w:val="0"/>
        <w:jc w:val="both"/>
      </w:pPr>
      <w:r>
        <w:rPr>
          <w:sz w:val="20"/>
        </w:rPr>
      </w:r>
    </w:p>
    <w:bookmarkStart w:id="42" w:name="P42"/>
    <w:bookmarkEnd w:id="42"/>
    <w:p>
      <w:pPr>
        <w:pStyle w:val="2"/>
        <w:jc w:val="center"/>
      </w:pPr>
      <w:r>
        <w:rPr>
          <w:sz w:val="20"/>
        </w:rPr>
        <w:t xml:space="preserve">ОСНОВНЫЕ НАПРАВЛЕНИЯ</w:t>
      </w:r>
    </w:p>
    <w:p>
      <w:pPr>
        <w:pStyle w:val="2"/>
        <w:jc w:val="center"/>
      </w:pPr>
      <w:r>
        <w:rPr>
          <w:sz w:val="20"/>
        </w:rPr>
        <w:t xml:space="preserve">НАЛОГОВОЙ ПОЛИТИКИ ВЛАДИМИРСКОЙ ОБЛАСТИ НА 2021 ГОД</w:t>
      </w:r>
    </w:p>
    <w:p>
      <w:pPr>
        <w:pStyle w:val="2"/>
        <w:jc w:val="center"/>
      </w:pPr>
      <w:r>
        <w:rPr>
          <w:sz w:val="20"/>
        </w:rPr>
        <w:t xml:space="preserve">И НА ПЛАНОВЫЙ ПЕРИОД 2022 И 2023 ГОДОВ</w:t>
      </w:r>
    </w:p>
    <w:p>
      <w:pPr>
        <w:pStyle w:val="0"/>
        <w:jc w:val="both"/>
      </w:pPr>
      <w:r>
        <w:rPr>
          <w:sz w:val="20"/>
        </w:rPr>
      </w:r>
    </w:p>
    <w:p>
      <w:pPr>
        <w:pStyle w:val="0"/>
        <w:ind w:firstLine="540"/>
        <w:jc w:val="both"/>
      </w:pPr>
      <w:r>
        <w:rPr>
          <w:sz w:val="20"/>
        </w:rPr>
        <w:t xml:space="preserve">Основные направления налоговой политики Владимирской области на 2021 год и на плановый период 2022 и 2023 годов разработаны в соответствии со </w:t>
      </w:r>
      <w:hyperlink w:history="0" r:id="rId10" w:tooltip="&quot;Бюджетный кодекс Российской Федерации&quot; от 31.07.1998 N 145-ФЗ (ред. от 14.07.2022) ------------ Недействующая редакция {КонсультантПлюс}">
        <w:r>
          <w:rPr>
            <w:sz w:val="20"/>
            <w:color w:val="0000ff"/>
          </w:rPr>
          <w:t xml:space="preserve">статьей 172</w:t>
        </w:r>
      </w:hyperlink>
      <w:r>
        <w:rPr>
          <w:sz w:val="20"/>
        </w:rPr>
        <w:t xml:space="preserve"> Бюджетного кодекса Российской Федерации, Посланием Президента Российской Федерации Федеральному Собранию от 15 января 2020 года, </w:t>
      </w:r>
      <w:hyperlink w:history="0" r:id="rId11"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w:t>
      </w:r>
      <w:hyperlink w:history="0" r:id="rId12" w:tooltip="Закон Владимирской области от 24.11.2000 N 82-ОЗ (ред. от 09.11.2021) &quot;О бюджетном процессе во Владимирской области&quot; (принят постановлением ЗС Владимирской области от 15.11.2000 N 370) ------------ Недействующая редакция {КонсультантПлюс}">
        <w:r>
          <w:rPr>
            <w:sz w:val="20"/>
            <w:color w:val="0000ff"/>
          </w:rPr>
          <w:t xml:space="preserve">Законом</w:t>
        </w:r>
      </w:hyperlink>
      <w:r>
        <w:rPr>
          <w:sz w:val="20"/>
        </w:rPr>
        <w:t xml:space="preserve"> области от 24 ноября 2000 г. N 82-ОЗ "О бюджетном процессе во Владимирской области".</w:t>
      </w:r>
    </w:p>
    <w:p>
      <w:pPr>
        <w:pStyle w:val="0"/>
        <w:spacing w:before="200" w:line-rule="auto"/>
        <w:ind w:firstLine="540"/>
        <w:jc w:val="both"/>
      </w:pPr>
      <w:r>
        <w:rPr>
          <w:sz w:val="20"/>
        </w:rPr>
        <w:t xml:space="preserve">Результатом реализации налоговой политики должно стать повышение налогового потенциала области за счет роста экономических показателей в части увеличения валового регионального продукта, создания новых высококвалифицированных рабочих мест с высоким уровнем заработной платы.</w:t>
      </w:r>
    </w:p>
    <w:p>
      <w:pPr>
        <w:pStyle w:val="0"/>
        <w:spacing w:before="200" w:line-rule="auto"/>
        <w:ind w:firstLine="540"/>
        <w:jc w:val="both"/>
      </w:pPr>
      <w:r>
        <w:rPr>
          <w:sz w:val="20"/>
        </w:rPr>
        <w:t xml:space="preserve">В случае изменений параметров налоговой системы Российской Федерации основные направления налоговой политики Владимирской области могут быть скорректированы в 2021 году при определении налоговой политики на 2022 и последующие годы.</w:t>
      </w:r>
    </w:p>
    <w:p>
      <w:pPr>
        <w:pStyle w:val="0"/>
        <w:jc w:val="both"/>
      </w:pPr>
      <w:r>
        <w:rPr>
          <w:sz w:val="20"/>
        </w:rPr>
      </w:r>
    </w:p>
    <w:p>
      <w:pPr>
        <w:pStyle w:val="2"/>
        <w:outlineLvl w:val="1"/>
        <w:jc w:val="center"/>
      </w:pPr>
      <w:r>
        <w:rPr>
          <w:sz w:val="20"/>
        </w:rPr>
        <w:t xml:space="preserve">I. Основные результаты реализации</w:t>
      </w:r>
    </w:p>
    <w:p>
      <w:pPr>
        <w:pStyle w:val="2"/>
        <w:jc w:val="center"/>
      </w:pPr>
      <w:r>
        <w:rPr>
          <w:sz w:val="20"/>
        </w:rPr>
        <w:t xml:space="preserve">налоговой политики в 2019 году</w:t>
      </w:r>
    </w:p>
    <w:p>
      <w:pPr>
        <w:pStyle w:val="0"/>
        <w:jc w:val="both"/>
      </w:pPr>
      <w:r>
        <w:rPr>
          <w:sz w:val="20"/>
        </w:rPr>
      </w:r>
    </w:p>
    <w:p>
      <w:pPr>
        <w:pStyle w:val="0"/>
        <w:ind w:firstLine="540"/>
        <w:jc w:val="both"/>
      </w:pPr>
      <w:r>
        <w:rPr>
          <w:sz w:val="20"/>
        </w:rPr>
        <w:t xml:space="preserve">В 2019 году налоговая политика области способствовала продолжению работы по увеличению налогового потенциала области за счет повышения инвестиционной активности, создания условий справедливой конкурентной среды, сокращения теневого сектора, совершенствования и оптимизации системы налогового администрирования, стимулирования развития малого и среднего предпринимательства через специальные налоговые режимы, сохранения всех предоставляемых областным законодательством эффективных налоговых льгот.</w:t>
      </w:r>
    </w:p>
    <w:p>
      <w:pPr>
        <w:pStyle w:val="0"/>
        <w:spacing w:before="200" w:line-rule="auto"/>
        <w:ind w:firstLine="540"/>
        <w:jc w:val="both"/>
      </w:pPr>
      <w:r>
        <w:rPr>
          <w:sz w:val="20"/>
        </w:rPr>
        <w:t xml:space="preserve">В 2019 году обеспечена позитивная динамика основных показателей, характеризующих социально-экономическое развитие региона (таблица 1).</w:t>
      </w:r>
    </w:p>
    <w:p>
      <w:pPr>
        <w:pStyle w:val="0"/>
        <w:jc w:val="both"/>
      </w:pPr>
      <w:r>
        <w:rPr>
          <w:sz w:val="20"/>
        </w:rPr>
      </w:r>
    </w:p>
    <w:p>
      <w:pPr>
        <w:pStyle w:val="0"/>
        <w:outlineLvl w:val="2"/>
        <w:jc w:val="right"/>
      </w:pPr>
      <w:r>
        <w:rPr>
          <w:sz w:val="20"/>
        </w:rPr>
        <w:t xml:space="preserve">Таблица 1</w:t>
      </w:r>
    </w:p>
    <w:p>
      <w:pPr>
        <w:pStyle w:val="0"/>
        <w:jc w:val="both"/>
      </w:pPr>
      <w:r>
        <w:rPr>
          <w:sz w:val="20"/>
        </w:rPr>
      </w:r>
    </w:p>
    <w:p>
      <w:pPr>
        <w:pStyle w:val="2"/>
        <w:jc w:val="center"/>
      </w:pPr>
      <w:r>
        <w:rPr>
          <w:sz w:val="20"/>
        </w:rPr>
        <w:t xml:space="preserve">Показатели</w:t>
      </w:r>
    </w:p>
    <w:p>
      <w:pPr>
        <w:pStyle w:val="2"/>
        <w:jc w:val="center"/>
      </w:pPr>
      <w:r>
        <w:rPr>
          <w:sz w:val="20"/>
        </w:rPr>
        <w:t xml:space="preserve">социально-экономического развития Владимирской области</w:t>
      </w:r>
    </w:p>
    <w:p>
      <w:pPr>
        <w:pStyle w:val="2"/>
        <w:jc w:val="center"/>
      </w:pPr>
      <w:r>
        <w:rPr>
          <w:sz w:val="20"/>
        </w:rPr>
        <w:t xml:space="preserve">за 2019 год</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309"/>
        <w:gridCol w:w="1587"/>
        <w:gridCol w:w="1587"/>
        <w:gridCol w:w="1587"/>
      </w:tblGrid>
      <w:tr>
        <w:tc>
          <w:tcPr>
            <w:tcW w:w="4309" w:type="dxa"/>
          </w:tcPr>
          <w:p>
            <w:pPr>
              <w:pStyle w:val="0"/>
              <w:jc w:val="center"/>
            </w:pPr>
            <w:r>
              <w:rPr>
                <w:sz w:val="20"/>
              </w:rPr>
              <w:t xml:space="preserve">Показатели</w:t>
            </w:r>
          </w:p>
        </w:tc>
        <w:tc>
          <w:tcPr>
            <w:tcW w:w="1587" w:type="dxa"/>
          </w:tcPr>
          <w:p>
            <w:pPr>
              <w:pStyle w:val="0"/>
              <w:jc w:val="center"/>
            </w:pPr>
            <w:r>
              <w:rPr>
                <w:sz w:val="20"/>
              </w:rPr>
              <w:t xml:space="preserve">2018 год</w:t>
            </w:r>
          </w:p>
        </w:tc>
        <w:tc>
          <w:tcPr>
            <w:tcW w:w="1587" w:type="dxa"/>
          </w:tcPr>
          <w:p>
            <w:pPr>
              <w:pStyle w:val="0"/>
              <w:jc w:val="center"/>
            </w:pPr>
            <w:r>
              <w:rPr>
                <w:sz w:val="20"/>
              </w:rPr>
              <w:t xml:space="preserve">2019 год</w:t>
            </w:r>
          </w:p>
        </w:tc>
        <w:tc>
          <w:tcPr>
            <w:tcW w:w="1587" w:type="dxa"/>
          </w:tcPr>
          <w:p>
            <w:pPr>
              <w:pStyle w:val="0"/>
              <w:jc w:val="center"/>
            </w:pPr>
            <w:r>
              <w:rPr>
                <w:sz w:val="20"/>
              </w:rPr>
              <w:t xml:space="preserve">% роста</w:t>
            </w:r>
          </w:p>
          <w:p>
            <w:pPr>
              <w:pStyle w:val="0"/>
              <w:jc w:val="center"/>
            </w:pPr>
            <w:r>
              <w:rPr>
                <w:sz w:val="20"/>
              </w:rPr>
              <w:t xml:space="preserve">(снижения)</w:t>
            </w:r>
          </w:p>
        </w:tc>
      </w:tr>
      <w:tr>
        <w:tc>
          <w:tcPr>
            <w:tcW w:w="4309" w:type="dxa"/>
          </w:tcPr>
          <w:p>
            <w:pPr>
              <w:pStyle w:val="0"/>
            </w:pPr>
            <w:r>
              <w:rPr>
                <w:sz w:val="20"/>
              </w:rPr>
              <w:t xml:space="preserve">Валовой региональный продукт, млн. рублей</w:t>
            </w:r>
          </w:p>
        </w:tc>
        <w:tc>
          <w:tcPr>
            <w:tcW w:w="1587" w:type="dxa"/>
          </w:tcPr>
          <w:p>
            <w:pPr>
              <w:pStyle w:val="0"/>
              <w:jc w:val="center"/>
            </w:pPr>
            <w:r>
              <w:rPr>
                <w:sz w:val="20"/>
              </w:rPr>
              <w:t xml:space="preserve">442892,8</w:t>
            </w:r>
          </w:p>
        </w:tc>
        <w:tc>
          <w:tcPr>
            <w:tcW w:w="1587" w:type="dxa"/>
          </w:tcPr>
          <w:p>
            <w:pPr>
              <w:pStyle w:val="0"/>
              <w:jc w:val="center"/>
            </w:pPr>
            <w:r>
              <w:rPr>
                <w:sz w:val="20"/>
              </w:rPr>
              <w:t xml:space="preserve">465382,6</w:t>
            </w:r>
          </w:p>
        </w:tc>
        <w:tc>
          <w:tcPr>
            <w:tcW w:w="1587" w:type="dxa"/>
          </w:tcPr>
          <w:p>
            <w:pPr>
              <w:pStyle w:val="0"/>
              <w:jc w:val="center"/>
            </w:pPr>
            <w:r>
              <w:rPr>
                <w:sz w:val="20"/>
              </w:rPr>
              <w:t xml:space="preserve">105,1</w:t>
            </w:r>
          </w:p>
        </w:tc>
      </w:tr>
      <w:tr>
        <w:tc>
          <w:tcPr>
            <w:tcW w:w="4309" w:type="dxa"/>
          </w:tcPr>
          <w:p>
            <w:pPr>
              <w:pStyle w:val="0"/>
            </w:pPr>
            <w:r>
              <w:rPr>
                <w:sz w:val="20"/>
              </w:rPr>
              <w:t xml:space="preserve">Индекс физического объема ВРП, %</w:t>
            </w:r>
          </w:p>
        </w:tc>
        <w:tc>
          <w:tcPr>
            <w:tcW w:w="1587" w:type="dxa"/>
          </w:tcPr>
          <w:p>
            <w:pPr>
              <w:pStyle w:val="0"/>
              <w:jc w:val="center"/>
            </w:pPr>
            <w:r>
              <w:rPr>
                <w:sz w:val="20"/>
              </w:rPr>
              <w:t xml:space="preserve">101,5</w:t>
            </w:r>
          </w:p>
        </w:tc>
        <w:tc>
          <w:tcPr>
            <w:tcW w:w="1587" w:type="dxa"/>
          </w:tcPr>
          <w:p>
            <w:pPr>
              <w:pStyle w:val="0"/>
              <w:jc w:val="center"/>
            </w:pPr>
            <w:r>
              <w:rPr>
                <w:sz w:val="20"/>
              </w:rPr>
              <w:t xml:space="preserve">100,8</w:t>
            </w:r>
          </w:p>
        </w:tc>
        <w:tc>
          <w:tcPr>
            <w:tcW w:w="1587" w:type="dxa"/>
          </w:tcPr>
          <w:p>
            <w:pPr>
              <w:pStyle w:val="0"/>
              <w:jc w:val="center"/>
            </w:pPr>
            <w:r>
              <w:rPr>
                <w:sz w:val="20"/>
              </w:rPr>
              <w:t xml:space="preserve">X</w:t>
            </w:r>
          </w:p>
        </w:tc>
      </w:tr>
      <w:tr>
        <w:tc>
          <w:tcPr>
            <w:tcW w:w="4309" w:type="dxa"/>
          </w:tcPr>
          <w:p>
            <w:pPr>
              <w:pStyle w:val="0"/>
            </w:pPr>
            <w:r>
              <w:rPr>
                <w:sz w:val="20"/>
              </w:rPr>
              <w:t xml:space="preserve">Прибыль прибыльных организаций (без субъектов малого предпринимательства), млн. рублей</w:t>
            </w:r>
          </w:p>
        </w:tc>
        <w:tc>
          <w:tcPr>
            <w:tcW w:w="1587" w:type="dxa"/>
          </w:tcPr>
          <w:p>
            <w:pPr>
              <w:pStyle w:val="0"/>
              <w:jc w:val="center"/>
            </w:pPr>
            <w:r>
              <w:rPr>
                <w:sz w:val="20"/>
              </w:rPr>
              <w:t xml:space="preserve">79223,4</w:t>
            </w:r>
          </w:p>
        </w:tc>
        <w:tc>
          <w:tcPr>
            <w:tcW w:w="1587" w:type="dxa"/>
          </w:tcPr>
          <w:p>
            <w:pPr>
              <w:pStyle w:val="0"/>
              <w:jc w:val="center"/>
            </w:pPr>
            <w:r>
              <w:rPr>
                <w:sz w:val="20"/>
              </w:rPr>
              <w:t xml:space="preserve">81441,6</w:t>
            </w:r>
          </w:p>
        </w:tc>
        <w:tc>
          <w:tcPr>
            <w:tcW w:w="1587" w:type="dxa"/>
          </w:tcPr>
          <w:p>
            <w:pPr>
              <w:pStyle w:val="0"/>
              <w:jc w:val="center"/>
            </w:pPr>
            <w:r>
              <w:rPr>
                <w:sz w:val="20"/>
              </w:rPr>
              <w:t xml:space="preserve">102,8</w:t>
            </w:r>
          </w:p>
        </w:tc>
      </w:tr>
      <w:tr>
        <w:tc>
          <w:tcPr>
            <w:tcW w:w="4309" w:type="dxa"/>
          </w:tcPr>
          <w:p>
            <w:pPr>
              <w:pStyle w:val="0"/>
            </w:pPr>
            <w:r>
              <w:rPr>
                <w:sz w:val="20"/>
              </w:rPr>
              <w:t xml:space="preserve">Фонд заработной платы работников (без субъектов малого предпринимательства), млн. рублей</w:t>
            </w:r>
          </w:p>
        </w:tc>
        <w:tc>
          <w:tcPr>
            <w:tcW w:w="1587" w:type="dxa"/>
          </w:tcPr>
          <w:p>
            <w:pPr>
              <w:pStyle w:val="0"/>
              <w:jc w:val="center"/>
            </w:pPr>
            <w:r>
              <w:rPr>
                <w:sz w:val="20"/>
              </w:rPr>
              <w:t xml:space="preserve">152024,8</w:t>
            </w:r>
          </w:p>
        </w:tc>
        <w:tc>
          <w:tcPr>
            <w:tcW w:w="1587" w:type="dxa"/>
          </w:tcPr>
          <w:p>
            <w:pPr>
              <w:pStyle w:val="0"/>
              <w:jc w:val="center"/>
            </w:pPr>
            <w:r>
              <w:rPr>
                <w:sz w:val="20"/>
              </w:rPr>
              <w:t xml:space="preserve">159917,3</w:t>
            </w:r>
          </w:p>
        </w:tc>
        <w:tc>
          <w:tcPr>
            <w:tcW w:w="1587" w:type="dxa"/>
          </w:tcPr>
          <w:p>
            <w:pPr>
              <w:pStyle w:val="0"/>
              <w:jc w:val="center"/>
            </w:pPr>
            <w:r>
              <w:rPr>
                <w:sz w:val="20"/>
              </w:rPr>
              <w:t xml:space="preserve">105,2</w:t>
            </w:r>
          </w:p>
        </w:tc>
      </w:tr>
      <w:tr>
        <w:tc>
          <w:tcPr>
            <w:tcW w:w="4309" w:type="dxa"/>
          </w:tcPr>
          <w:p>
            <w:pPr>
              <w:pStyle w:val="0"/>
            </w:pPr>
            <w:r>
              <w:rPr>
                <w:sz w:val="20"/>
              </w:rPr>
              <w:t xml:space="preserve">Индекс потребительских цен, %</w:t>
            </w:r>
          </w:p>
        </w:tc>
        <w:tc>
          <w:tcPr>
            <w:tcW w:w="1587" w:type="dxa"/>
          </w:tcPr>
          <w:p>
            <w:pPr>
              <w:pStyle w:val="0"/>
              <w:jc w:val="center"/>
            </w:pPr>
            <w:r>
              <w:rPr>
                <w:sz w:val="20"/>
              </w:rPr>
              <w:t xml:space="preserve">105,2</w:t>
            </w:r>
          </w:p>
        </w:tc>
        <w:tc>
          <w:tcPr>
            <w:tcW w:w="1587" w:type="dxa"/>
          </w:tcPr>
          <w:p>
            <w:pPr>
              <w:pStyle w:val="0"/>
              <w:jc w:val="center"/>
            </w:pPr>
            <w:r>
              <w:rPr>
                <w:sz w:val="20"/>
              </w:rPr>
              <w:t xml:space="preserve">102,2</w:t>
            </w:r>
          </w:p>
        </w:tc>
        <w:tc>
          <w:tcPr>
            <w:tcW w:w="1587" w:type="dxa"/>
          </w:tcPr>
          <w:p>
            <w:pPr>
              <w:pStyle w:val="0"/>
              <w:jc w:val="center"/>
            </w:pPr>
            <w:r>
              <w:rPr>
                <w:sz w:val="20"/>
              </w:rPr>
              <w:t xml:space="preserve">X</w:t>
            </w:r>
          </w:p>
        </w:tc>
      </w:tr>
      <w:tr>
        <w:tc>
          <w:tcPr>
            <w:tcW w:w="4309" w:type="dxa"/>
          </w:tcPr>
          <w:p>
            <w:pPr>
              <w:pStyle w:val="0"/>
            </w:pPr>
            <w:r>
              <w:rPr>
                <w:sz w:val="20"/>
              </w:rPr>
              <w:t xml:space="preserve">Инвестиции в основной капитал, млн. рублей</w:t>
            </w:r>
          </w:p>
        </w:tc>
        <w:tc>
          <w:tcPr>
            <w:tcW w:w="1587" w:type="dxa"/>
          </w:tcPr>
          <w:p>
            <w:pPr>
              <w:pStyle w:val="0"/>
              <w:jc w:val="center"/>
            </w:pPr>
            <w:r>
              <w:rPr>
                <w:sz w:val="20"/>
              </w:rPr>
              <w:t xml:space="preserve">74310,8</w:t>
            </w:r>
          </w:p>
        </w:tc>
        <w:tc>
          <w:tcPr>
            <w:tcW w:w="1587" w:type="dxa"/>
          </w:tcPr>
          <w:p>
            <w:pPr>
              <w:pStyle w:val="0"/>
              <w:jc w:val="center"/>
            </w:pPr>
            <w:r>
              <w:rPr>
                <w:sz w:val="20"/>
              </w:rPr>
              <w:t xml:space="preserve">90084,5</w:t>
            </w:r>
          </w:p>
        </w:tc>
        <w:tc>
          <w:tcPr>
            <w:tcW w:w="1587" w:type="dxa"/>
          </w:tcPr>
          <w:p>
            <w:pPr>
              <w:pStyle w:val="0"/>
              <w:jc w:val="center"/>
            </w:pPr>
            <w:r>
              <w:rPr>
                <w:sz w:val="20"/>
              </w:rPr>
              <w:t xml:space="preserve">113,1 &lt;*&gt;</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Процент к предыдущему году в сопоставимых ценах.</w:t>
      </w:r>
    </w:p>
    <w:p>
      <w:pPr>
        <w:pStyle w:val="0"/>
        <w:jc w:val="both"/>
      </w:pPr>
      <w:r>
        <w:rPr>
          <w:sz w:val="20"/>
        </w:rPr>
      </w:r>
    </w:p>
    <w:p>
      <w:pPr>
        <w:pStyle w:val="0"/>
        <w:ind w:firstLine="540"/>
        <w:jc w:val="both"/>
      </w:pPr>
      <w:r>
        <w:rPr>
          <w:sz w:val="20"/>
        </w:rPr>
        <w:t xml:space="preserve">Положительная динамика отмечается по всем показателям, от которых зависит налоговый потенциал области.</w:t>
      </w:r>
    </w:p>
    <w:p>
      <w:pPr>
        <w:pStyle w:val="0"/>
        <w:spacing w:before="200" w:line-rule="auto"/>
        <w:ind w:firstLine="540"/>
        <w:jc w:val="both"/>
      </w:pPr>
      <w:r>
        <w:rPr>
          <w:sz w:val="20"/>
        </w:rPr>
        <w:t xml:space="preserve">Объем валового регионального продукта области (далее - ВРП) составил 465382,6 млн. рублей. Темп роста объема ВРП составил 100,8% к предыдущему отчетному периоду в сопоставимых ценах.</w:t>
      </w:r>
    </w:p>
    <w:p>
      <w:pPr>
        <w:pStyle w:val="0"/>
        <w:spacing w:before="200" w:line-rule="auto"/>
        <w:ind w:firstLine="540"/>
        <w:jc w:val="both"/>
      </w:pPr>
      <w:r>
        <w:rPr>
          <w:sz w:val="20"/>
        </w:rPr>
        <w:t xml:space="preserve">Индекс потребительских цен на товары и услуги в декабре прошлого года к декабрю предыдущего года составил 102,2%.</w:t>
      </w:r>
    </w:p>
    <w:p>
      <w:pPr>
        <w:pStyle w:val="0"/>
        <w:spacing w:before="200" w:line-rule="auto"/>
        <w:ind w:firstLine="540"/>
        <w:jc w:val="both"/>
      </w:pPr>
      <w:r>
        <w:rPr>
          <w:sz w:val="20"/>
        </w:rPr>
        <w:t xml:space="preserve">Объем прибыли организаций достиг в 2019 году уровня 81441,6 млн. рублей (102,8% к уровню 2018 года), фонд заработной платы работников - 159917,3 млн. рублей (105,2% к уровню 2018 года).</w:t>
      </w:r>
    </w:p>
    <w:p>
      <w:pPr>
        <w:pStyle w:val="0"/>
        <w:spacing w:before="200" w:line-rule="auto"/>
        <w:ind w:firstLine="540"/>
        <w:jc w:val="both"/>
      </w:pPr>
      <w:r>
        <w:rPr>
          <w:sz w:val="20"/>
        </w:rPr>
        <w:t xml:space="preserve">На развитие экономики в 2019 году было направлено 90084,5 млн. рублей инвестиций в основной капитал. Прирост объема инвестиций к уровню 2018 года составил 21,2%. Этому способствовала проводимая в области инвестиционная политика. Инвесторам оказывается значительная государственная поддержка. Ставка по налогу на прибыль для инвесторов снижена до 13,5%, для участников региональных инвестиционных проектов - до 10%, для специальных инвестиционных контрактов - до 5%, резидентов территории опережающего социально-экономического развития и резидентов особых экономических зон промышленно-производственного типа - до 0%. Основная задача - создать квалифицированные рабочие места с достойным уровнем заработной платы.</w:t>
      </w:r>
    </w:p>
    <w:p>
      <w:pPr>
        <w:pStyle w:val="0"/>
        <w:spacing w:before="200" w:line-rule="auto"/>
        <w:ind w:firstLine="540"/>
        <w:jc w:val="both"/>
      </w:pPr>
      <w:r>
        <w:rPr>
          <w:sz w:val="20"/>
        </w:rPr>
        <w:t xml:space="preserve">В 2019 году продолжена реализация крупных инвестиционных проектов:</w:t>
      </w:r>
    </w:p>
    <w:p>
      <w:pPr>
        <w:pStyle w:val="0"/>
        <w:spacing w:before="200" w:line-rule="auto"/>
        <w:ind w:firstLine="540"/>
        <w:jc w:val="both"/>
      </w:pPr>
      <w:r>
        <w:rPr>
          <w:sz w:val="20"/>
        </w:rPr>
        <w:t xml:space="preserve">- строительство 2-й очереди дата-центра ООО "Яндекс ДЦ Владимир";</w:t>
      </w:r>
    </w:p>
    <w:p>
      <w:pPr>
        <w:pStyle w:val="0"/>
        <w:spacing w:before="200" w:line-rule="auto"/>
        <w:ind w:firstLine="540"/>
        <w:jc w:val="both"/>
      </w:pPr>
      <w:r>
        <w:rPr>
          <w:sz w:val="20"/>
        </w:rPr>
        <w:t xml:space="preserve">- производственного комплекса по выпуску холоднокатаного металла китайской компанией "Объединенная компания "РусТехнологии Муром" в Муромском районе;</w:t>
      </w:r>
    </w:p>
    <w:p>
      <w:pPr>
        <w:pStyle w:val="0"/>
        <w:spacing w:before="200" w:line-rule="auto"/>
        <w:ind w:firstLine="540"/>
        <w:jc w:val="both"/>
      </w:pPr>
      <w:r>
        <w:rPr>
          <w:sz w:val="20"/>
        </w:rPr>
        <w:t xml:space="preserve">- животноводческого комплекса КРС ООО "Тарбаево";</w:t>
      </w:r>
    </w:p>
    <w:p>
      <w:pPr>
        <w:pStyle w:val="0"/>
        <w:spacing w:before="200" w:line-rule="auto"/>
        <w:ind w:firstLine="540"/>
        <w:jc w:val="both"/>
      </w:pPr>
      <w:r>
        <w:rPr>
          <w:sz w:val="20"/>
        </w:rPr>
        <w:t xml:space="preserve">- 2 очередь строительства производства по выпуску электрической продукции на территории промышленной зоны "Александрова слобода" турецкой компанией "ЕАЕ";</w:t>
      </w:r>
    </w:p>
    <w:p>
      <w:pPr>
        <w:pStyle w:val="0"/>
        <w:spacing w:before="200" w:line-rule="auto"/>
        <w:ind w:firstLine="540"/>
        <w:jc w:val="both"/>
      </w:pPr>
      <w:r>
        <w:rPr>
          <w:sz w:val="20"/>
        </w:rPr>
        <w:t xml:space="preserve">- модернизация существующего производства немецкой компанией "Бау Текс" в г. Гусь-Хрустальный;</w:t>
      </w:r>
    </w:p>
    <w:p>
      <w:pPr>
        <w:pStyle w:val="0"/>
        <w:spacing w:before="200" w:line-rule="auto"/>
        <w:ind w:firstLine="540"/>
        <w:jc w:val="both"/>
      </w:pPr>
      <w:r>
        <w:rPr>
          <w:sz w:val="20"/>
        </w:rPr>
        <w:t xml:space="preserve">- строительство комбината по производству оцинкованной стали китайской компанией "Объединенная компания "РусТехнологии Муром" в Муромском районе;</w:t>
      </w:r>
    </w:p>
    <w:p>
      <w:pPr>
        <w:pStyle w:val="0"/>
        <w:spacing w:before="200" w:line-rule="auto"/>
        <w:ind w:firstLine="540"/>
        <w:jc w:val="both"/>
      </w:pPr>
      <w:r>
        <w:rPr>
          <w:sz w:val="20"/>
        </w:rPr>
        <w:t xml:space="preserve">- комплексное развитие производства авиационных агрегатов в Першинском филиале ОАО НПО "Наука";</w:t>
      </w:r>
    </w:p>
    <w:p>
      <w:pPr>
        <w:pStyle w:val="0"/>
        <w:spacing w:before="200" w:line-rule="auto"/>
        <w:ind w:firstLine="540"/>
        <w:jc w:val="both"/>
      </w:pPr>
      <w:r>
        <w:rPr>
          <w:sz w:val="20"/>
        </w:rPr>
        <w:t xml:space="preserve">- развитие и расширение производственных мощностей кондитерской фабрики ЗАО "Ферреро Руссия";</w:t>
      </w:r>
    </w:p>
    <w:p>
      <w:pPr>
        <w:pStyle w:val="0"/>
        <w:spacing w:before="200" w:line-rule="auto"/>
        <w:ind w:firstLine="540"/>
        <w:jc w:val="both"/>
      </w:pPr>
      <w:r>
        <w:rPr>
          <w:sz w:val="20"/>
        </w:rPr>
        <w:t xml:space="preserve">- организация производства электротехнической продукции ООО "МОСЭЛЕКТРОЩИТ";</w:t>
      </w:r>
    </w:p>
    <w:p>
      <w:pPr>
        <w:pStyle w:val="0"/>
        <w:spacing w:before="200" w:line-rule="auto"/>
        <w:ind w:firstLine="540"/>
        <w:jc w:val="both"/>
      </w:pPr>
      <w:r>
        <w:rPr>
          <w:sz w:val="20"/>
        </w:rPr>
        <w:t xml:space="preserve">- организация производства торфяных субстратов ООО "Апекс Агро";</w:t>
      </w:r>
    </w:p>
    <w:p>
      <w:pPr>
        <w:pStyle w:val="0"/>
        <w:spacing w:before="200" w:line-rule="auto"/>
        <w:ind w:firstLine="540"/>
        <w:jc w:val="both"/>
      </w:pPr>
      <w:r>
        <w:rPr>
          <w:sz w:val="20"/>
        </w:rPr>
        <w:t xml:space="preserve">- производство электросварных труб различного сортамента мощностью 170000 тонн в год ООО "НТС-Лидер";</w:t>
      </w:r>
    </w:p>
    <w:p>
      <w:pPr>
        <w:pStyle w:val="0"/>
        <w:spacing w:before="200" w:line-rule="auto"/>
        <w:ind w:firstLine="540"/>
        <w:jc w:val="both"/>
      </w:pPr>
      <w:r>
        <w:rPr>
          <w:sz w:val="20"/>
        </w:rPr>
        <w:t xml:space="preserve">- строительство дополнительного цеха для расширения производства биологических препаратов АО "Генериум";</w:t>
      </w:r>
    </w:p>
    <w:p>
      <w:pPr>
        <w:pStyle w:val="0"/>
        <w:spacing w:before="200" w:line-rule="auto"/>
        <w:ind w:firstLine="540"/>
        <w:jc w:val="both"/>
      </w:pPr>
      <w:r>
        <w:rPr>
          <w:sz w:val="20"/>
        </w:rPr>
        <w:t xml:space="preserve">- строительство производства сухих компонентов из овощей и фруктов для пищевой промышленности ООО "Пищевые компоненты";</w:t>
      </w:r>
    </w:p>
    <w:p>
      <w:pPr>
        <w:pStyle w:val="0"/>
        <w:spacing w:before="200" w:line-rule="auto"/>
        <w:ind w:firstLine="540"/>
        <w:jc w:val="both"/>
      </w:pPr>
      <w:r>
        <w:rPr>
          <w:sz w:val="20"/>
        </w:rPr>
        <w:t xml:space="preserve">- в строительство завода по производству сборных полимержелезобетонных резервуаров ООО "Завод "БЕТАЛ";</w:t>
      </w:r>
    </w:p>
    <w:p>
      <w:pPr>
        <w:pStyle w:val="0"/>
        <w:spacing w:before="200" w:line-rule="auto"/>
        <w:ind w:firstLine="540"/>
        <w:jc w:val="both"/>
      </w:pPr>
      <w:r>
        <w:rPr>
          <w:sz w:val="20"/>
        </w:rPr>
        <w:t xml:space="preserve">- модернизация текстильного производства ООО "Юрьев-Польская ткацко-отделочная фабрика "Авангард".</w:t>
      </w:r>
    </w:p>
    <w:p>
      <w:pPr>
        <w:pStyle w:val="0"/>
        <w:spacing w:before="200" w:line-rule="auto"/>
        <w:ind w:firstLine="540"/>
        <w:jc w:val="both"/>
      </w:pPr>
      <w:r>
        <w:rPr>
          <w:sz w:val="20"/>
        </w:rPr>
        <w:t xml:space="preserve">В рамках Соглашения с НО "Фонд развития моногородов" продолжена работа по реализации инвестиционных проектов на территории моногорода Камешково и одноименного парка:</w:t>
      </w:r>
    </w:p>
    <w:p>
      <w:pPr>
        <w:pStyle w:val="0"/>
        <w:spacing w:before="200" w:line-rule="auto"/>
        <w:ind w:firstLine="540"/>
        <w:jc w:val="both"/>
      </w:pPr>
      <w:r>
        <w:rPr>
          <w:sz w:val="20"/>
        </w:rPr>
        <w:t xml:space="preserve">- строительство производственного корпуса цеха N 2 "НПО "ВОЯЖ";</w:t>
      </w:r>
    </w:p>
    <w:p>
      <w:pPr>
        <w:pStyle w:val="0"/>
        <w:spacing w:before="200" w:line-rule="auto"/>
        <w:ind w:firstLine="540"/>
        <w:jc w:val="both"/>
      </w:pPr>
      <w:r>
        <w:rPr>
          <w:sz w:val="20"/>
        </w:rPr>
        <w:t xml:space="preserve">- модернизация производства напольных ПВХ покрытий "Ютекс Ру";</w:t>
      </w:r>
    </w:p>
    <w:p>
      <w:pPr>
        <w:pStyle w:val="0"/>
        <w:spacing w:before="200" w:line-rule="auto"/>
        <w:ind w:firstLine="540"/>
        <w:jc w:val="both"/>
      </w:pPr>
      <w:r>
        <w:rPr>
          <w:sz w:val="20"/>
        </w:rPr>
        <w:t xml:space="preserve">- строительство нового птицеводческого комплекса и создание на его базе эффективного производства мяса индейки высокого качества в объеме 11,4 тыс. тонн в год "Власта" (Группа компаний "Владимирский стандарт");</w:t>
      </w:r>
    </w:p>
    <w:p>
      <w:pPr>
        <w:pStyle w:val="0"/>
        <w:spacing w:before="200" w:line-rule="auto"/>
        <w:ind w:firstLine="540"/>
        <w:jc w:val="both"/>
      </w:pPr>
      <w:r>
        <w:rPr>
          <w:sz w:val="20"/>
        </w:rPr>
        <w:t xml:space="preserve">- разработка и организация производства тракторов на колесном шасси на территории парка "КаМЗ".</w:t>
      </w:r>
    </w:p>
    <w:p>
      <w:pPr>
        <w:pStyle w:val="0"/>
        <w:spacing w:before="200" w:line-rule="auto"/>
        <w:ind w:firstLine="540"/>
        <w:jc w:val="both"/>
      </w:pPr>
      <w:r>
        <w:rPr>
          <w:sz w:val="20"/>
        </w:rPr>
        <w:t xml:space="preserve">В 2019 году государственную поддержку при реализации одобренных инвестиционных проектов получили 13 организаций области. Уточненная сумма государственной поддержки в результате предоставления налоговых льгот составила 295,7 млн. рублей, в том числе по налогу на прибыль - 97,8 млн. рублей, по налогу на имущество - 197,9 млн. рублей. Организациями-инвесторами уплачено налогов в 2019 году в федеральный бюджет 825,4 млн. рублей, в консолидированный бюджет области - 818,4 млн. рублей, во внебюджетные фонды - 416 млн. рублей, экспортных и импортных пошлин - 58,5 млн. рублей.</w:t>
      </w:r>
    </w:p>
    <w:p>
      <w:pPr>
        <w:pStyle w:val="0"/>
        <w:spacing w:before="200" w:line-rule="auto"/>
        <w:ind w:firstLine="540"/>
        <w:jc w:val="both"/>
      </w:pPr>
      <w:r>
        <w:rPr>
          <w:sz w:val="20"/>
        </w:rPr>
        <w:t xml:space="preserve">В целом в развитие экономики области в 2019 году вложено 8071,7 млн. рублей - это налоговые льготы, преференции и вычеты, которые в соответствии с Бюджетным </w:t>
      </w:r>
      <w:hyperlink w:history="0" r:id="rId13" w:tooltip="&quot;Бюджетный кодекс Российской Федерации&quot; от 31.07.1998 N 145-ФЗ (ред. от 14.07.2022) ------------ Недействующая редакция {КонсультантПлюс}">
        <w:r>
          <w:rPr>
            <w:sz w:val="20"/>
            <w:color w:val="0000ff"/>
          </w:rPr>
          <w:t xml:space="preserve">кодексом</w:t>
        </w:r>
      </w:hyperlink>
      <w:r>
        <w:rPr>
          <w:sz w:val="20"/>
        </w:rPr>
        <w:t xml:space="preserve"> Российской Федерации являются налоговыми расходами бюджета региона.</w:t>
      </w:r>
    </w:p>
    <w:p>
      <w:pPr>
        <w:pStyle w:val="0"/>
        <w:spacing w:before="200" w:line-rule="auto"/>
        <w:ind w:firstLine="540"/>
        <w:jc w:val="both"/>
      </w:pPr>
      <w:r>
        <w:rPr>
          <w:sz w:val="20"/>
        </w:rPr>
        <w:t xml:space="preserve">Особое внимание в области уделяется поддержке представителям малого и среднего бизнеса.</w:t>
      </w:r>
    </w:p>
    <w:p>
      <w:pPr>
        <w:pStyle w:val="0"/>
        <w:spacing w:before="200" w:line-rule="auto"/>
        <w:ind w:firstLine="540"/>
        <w:jc w:val="both"/>
      </w:pPr>
      <w:r>
        <w:rPr>
          <w:sz w:val="20"/>
        </w:rPr>
        <w:t xml:space="preserve">В прошедшем году на поддержку малого и среднего бизнеса направлено 797,5 млн. рублей. Всего за 2019 год получили поддержку 6300 субъектов малого и среднего предпринимательства. В результате реализации мероприятий поддержки было создано 1150 новых рабочих мест, открыто 74 новых предприятия.</w:t>
      </w:r>
    </w:p>
    <w:p>
      <w:pPr>
        <w:pStyle w:val="0"/>
        <w:spacing w:before="200" w:line-rule="auto"/>
        <w:ind w:firstLine="540"/>
        <w:jc w:val="both"/>
      </w:pPr>
      <w:r>
        <w:rPr>
          <w:sz w:val="20"/>
        </w:rPr>
        <w:t xml:space="preserve">На реализацию регионального проекта "Адресная поддержка повышения производительности труда на предприятиях" в рамках национального проекта "Производительность труда и поддержка занятости" в 2019 году направлено 24073,8 тыс. рублей. Указанные средства направлены на предоставление субсидии автономной некоммерческой организации "Региональный центр компетенций в сфере производительности труда Владимирской области". Заключены соглашения с 18 предприятиями-участниками проекта о реализации мероприятий по повышению производительности труда, проведено обучение 108 сотрудников инструментам повышения производительности труда на предприятиях-участниках.</w:t>
      </w:r>
    </w:p>
    <w:p>
      <w:pPr>
        <w:pStyle w:val="0"/>
        <w:spacing w:before="200" w:line-rule="auto"/>
        <w:ind w:firstLine="540"/>
        <w:jc w:val="both"/>
      </w:pPr>
      <w:r>
        <w:rPr>
          <w:sz w:val="20"/>
        </w:rPr>
        <w:t xml:space="preserve">Одним из направлений работы по росту доходного потенциала области является реализация мер по повышению эффективности налогового администрирования.</w:t>
      </w:r>
    </w:p>
    <w:p>
      <w:pPr>
        <w:pStyle w:val="0"/>
        <w:spacing w:before="200" w:line-rule="auto"/>
        <w:ind w:firstLine="540"/>
        <w:jc w:val="both"/>
      </w:pPr>
      <w:r>
        <w:rPr>
          <w:sz w:val="20"/>
        </w:rPr>
        <w:t xml:space="preserve">В области принимаются меры по легализации "теневой" заработной платы. Распоряжением администрации области от 28 июля 2016 г. N 378-р утвержден </w:t>
      </w:r>
      <w:hyperlink w:history="0" r:id="rId14" w:tooltip="Распоряжение администрации Владимирской обл. от 28.07.2016 N 378-р (ред. от 13.07.2021) &quot;Об утверждении Плана мероприятий (&quot;дорожной карты&quot;) по обеспечению роста собираемости налога на доходы физических лиц на территории Владимирской области&quot; {КонсультантПлюс}">
        <w:r>
          <w:rPr>
            <w:sz w:val="20"/>
            <w:color w:val="0000ff"/>
          </w:rPr>
          <w:t xml:space="preserve">план</w:t>
        </w:r>
      </w:hyperlink>
      <w:r>
        <w:rPr>
          <w:sz w:val="20"/>
        </w:rPr>
        <w:t xml:space="preserve"> мероприятий ("дорожная карта") по обеспечению роста собираемости налога на доходы физических лиц на территории области. В целях ее реализации за 2019 год проведена индивидуальная работа с 927 работодателями, имеющими задолженность по налогу на доходы физических лиц. Дополнительно поступило в областной бюджет налога в сумме 64,9 млн. рублей. Заслушано на комиссиях 2830 тысяч работодателей, выплачивающих заработную плату ниже среднего показателя по виду экономической деятельности. Сумма дополнительно поступившего налога на доходы физических лиц от легализации "теневой" заработной платы составила 106,5 млн. рублей, что в 1,1 раза больше уровня 2018 года.</w:t>
      </w:r>
    </w:p>
    <w:p>
      <w:pPr>
        <w:pStyle w:val="0"/>
        <w:spacing w:before="200" w:line-rule="auto"/>
        <w:ind w:firstLine="540"/>
        <w:jc w:val="both"/>
      </w:pPr>
      <w:r>
        <w:rPr>
          <w:sz w:val="20"/>
        </w:rPr>
        <w:t xml:space="preserve">В 2019 году продолжена работа по реализации мероприятий, предусмотренных актуализированными "дорожными картами", разработанными межведомственной рабочей группой по повышению собираемости местных налогов.</w:t>
      </w:r>
    </w:p>
    <w:p>
      <w:pPr>
        <w:pStyle w:val="0"/>
        <w:spacing w:before="200" w:line-rule="auto"/>
        <w:ind w:firstLine="540"/>
        <w:jc w:val="both"/>
      </w:pPr>
      <w:r>
        <w:rPr>
          <w:sz w:val="20"/>
        </w:rPr>
        <w:t xml:space="preserve">В 2019 году органами местного самоуправления уточнены сведения в отношении 10,2 тысячи объектов недвижимости и 41,1 тысячи земельных участков, из которых по 17,9 тысячи объектов отсутствуют правообладатели. Регистрация прав в отношении указанных объектов недвижимости осуществлялась в 2019 году. Сумма дополнительно исчисленного земельного налога составила 2,4 млн. рублей, налога на имущество физических лиц - 1,4 млн. рублей.</w:t>
      </w:r>
    </w:p>
    <w:p>
      <w:pPr>
        <w:pStyle w:val="0"/>
        <w:spacing w:before="200" w:line-rule="auto"/>
        <w:ind w:firstLine="540"/>
        <w:jc w:val="both"/>
      </w:pPr>
      <w:r>
        <w:rPr>
          <w:sz w:val="20"/>
        </w:rPr>
        <w:t xml:space="preserve">В муниципальных образованиях проводилась работа по выявлению объектов недвижимости, не поставленных на кадастровый и налоговый учеты, направлялись письма о необходимости регистрации, продлевались сроки разрешений на строительство и реконструкцию. В 2019 году органами местного самоуправления проведено 2204 подворовых обходов. В результате выявлено 2153 объекта, не поставленных на кадастровый и налоговый учеты, из которых в отношении 802 объектов недвижимости зарегистрированы права собственности. В результате проведенных контрольных мероприятий на территориях муниципальных образований налоговыми органами дополнительно начислено земельного налога в сумме 1,4 млн. рублей.</w:t>
      </w:r>
    </w:p>
    <w:p>
      <w:pPr>
        <w:pStyle w:val="0"/>
        <w:spacing w:before="200" w:line-rule="auto"/>
        <w:ind w:firstLine="540"/>
        <w:jc w:val="both"/>
      </w:pPr>
      <w:r>
        <w:rPr>
          <w:sz w:val="20"/>
        </w:rPr>
        <w:t xml:space="preserve">В 2019 году организована работа по выезду 507 "мобильных офисов". В результате работы "мобильных офисов" физическими лицами осуществлена уплата имущественных налогов на сумму 737,5 тыс. рублей. В рамках работы "мобильных офисов" оказаны консультации 182 физическим лицам по вопросам льготирования, исчисления имущественных налогов.</w:t>
      </w:r>
    </w:p>
    <w:p>
      <w:pPr>
        <w:pStyle w:val="0"/>
        <w:spacing w:before="200" w:line-rule="auto"/>
        <w:ind w:firstLine="540"/>
        <w:jc w:val="both"/>
      </w:pPr>
      <w:r>
        <w:rPr>
          <w:sz w:val="20"/>
        </w:rPr>
        <w:t xml:space="preserve">В результате реализации налоговой политики объем поступлений налоговых и неналоговых доходов в консолидированный бюджет области составил в 2019 году 60125,1 млн. рублей (106,2% к 2018 году), из них в областной бюджет поступило 46732,1 млн. рублей (107%) (таблица 2).</w:t>
      </w:r>
    </w:p>
    <w:p>
      <w:pPr>
        <w:pStyle w:val="0"/>
        <w:jc w:val="both"/>
      </w:pPr>
      <w:r>
        <w:rPr>
          <w:sz w:val="20"/>
        </w:rPr>
      </w:r>
    </w:p>
    <w:p>
      <w:pPr>
        <w:pStyle w:val="0"/>
        <w:outlineLvl w:val="2"/>
        <w:jc w:val="right"/>
      </w:pPr>
      <w:r>
        <w:rPr>
          <w:sz w:val="20"/>
        </w:rPr>
        <w:t xml:space="preserve">Таблица 2</w:t>
      </w:r>
    </w:p>
    <w:p>
      <w:pPr>
        <w:pStyle w:val="0"/>
        <w:jc w:val="both"/>
      </w:pPr>
      <w:r>
        <w:rPr>
          <w:sz w:val="20"/>
        </w:rPr>
      </w:r>
    </w:p>
    <w:p>
      <w:pPr>
        <w:pStyle w:val="2"/>
        <w:jc w:val="center"/>
      </w:pPr>
      <w:r>
        <w:rPr>
          <w:sz w:val="20"/>
        </w:rPr>
        <w:t xml:space="preserve">Поступление</w:t>
      </w:r>
    </w:p>
    <w:p>
      <w:pPr>
        <w:pStyle w:val="2"/>
        <w:jc w:val="center"/>
      </w:pPr>
      <w:r>
        <w:rPr>
          <w:sz w:val="20"/>
        </w:rPr>
        <w:t xml:space="preserve">налоговых и неналоговых доходов в консолидированный</w:t>
      </w:r>
    </w:p>
    <w:p>
      <w:pPr>
        <w:pStyle w:val="2"/>
        <w:jc w:val="center"/>
      </w:pPr>
      <w:r>
        <w:rPr>
          <w:sz w:val="20"/>
        </w:rPr>
        <w:t xml:space="preserve">бюджет области за 2019 год</w:t>
      </w:r>
    </w:p>
    <w:p>
      <w:pPr>
        <w:pStyle w:val="0"/>
        <w:jc w:val="both"/>
      </w:pPr>
      <w:r>
        <w:rPr>
          <w:sz w:val="20"/>
        </w:rPr>
      </w:r>
    </w:p>
    <w:p>
      <w:pPr>
        <w:pStyle w:val="0"/>
        <w:jc w:val="right"/>
      </w:pPr>
      <w:r>
        <w:rPr>
          <w:sz w:val="20"/>
        </w:rPr>
        <w:t xml:space="preserve">млн.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415"/>
        <w:gridCol w:w="1191"/>
        <w:gridCol w:w="1417"/>
        <w:gridCol w:w="1247"/>
        <w:gridCol w:w="1247"/>
      </w:tblGrid>
      <w:tr>
        <w:tc>
          <w:tcPr>
            <w:tcW w:w="2551" w:type="dxa"/>
            <w:vMerge w:val="restart"/>
          </w:tcPr>
          <w:p>
            <w:pPr>
              <w:pStyle w:val="0"/>
              <w:jc w:val="center"/>
            </w:pPr>
            <w:r>
              <w:rPr>
                <w:sz w:val="20"/>
              </w:rPr>
              <w:t xml:space="preserve">Показатели</w:t>
            </w:r>
          </w:p>
        </w:tc>
        <w:tc>
          <w:tcPr>
            <w:tcW w:w="1415" w:type="dxa"/>
            <w:vMerge w:val="restart"/>
          </w:tcPr>
          <w:p>
            <w:pPr>
              <w:pStyle w:val="0"/>
              <w:jc w:val="center"/>
            </w:pPr>
            <w:r>
              <w:rPr>
                <w:sz w:val="20"/>
              </w:rPr>
              <w:t xml:space="preserve">Исполнено за 2018 год</w:t>
            </w:r>
          </w:p>
        </w:tc>
        <w:tc>
          <w:tcPr>
            <w:tcW w:w="1191" w:type="dxa"/>
            <w:vMerge w:val="restart"/>
          </w:tcPr>
          <w:p>
            <w:pPr>
              <w:pStyle w:val="0"/>
              <w:jc w:val="center"/>
            </w:pPr>
            <w:r>
              <w:rPr>
                <w:sz w:val="20"/>
              </w:rPr>
              <w:t xml:space="preserve">Уточненный план на 2019 год</w:t>
            </w:r>
          </w:p>
        </w:tc>
        <w:tc>
          <w:tcPr>
            <w:tcW w:w="1417" w:type="dxa"/>
            <w:vMerge w:val="restart"/>
          </w:tcPr>
          <w:p>
            <w:pPr>
              <w:pStyle w:val="0"/>
              <w:jc w:val="center"/>
            </w:pPr>
            <w:r>
              <w:rPr>
                <w:sz w:val="20"/>
              </w:rPr>
              <w:t xml:space="preserve">Исполнено за 2019 год</w:t>
            </w:r>
          </w:p>
        </w:tc>
        <w:tc>
          <w:tcPr>
            <w:gridSpan w:val="2"/>
            <w:tcW w:w="2494" w:type="dxa"/>
          </w:tcPr>
          <w:p>
            <w:pPr>
              <w:pStyle w:val="0"/>
              <w:jc w:val="center"/>
            </w:pPr>
            <w:r>
              <w:rPr>
                <w:sz w:val="20"/>
              </w:rPr>
              <w:t xml:space="preserve">% исполнения факта</w:t>
            </w:r>
          </w:p>
          <w:p>
            <w:pPr>
              <w:pStyle w:val="0"/>
              <w:jc w:val="center"/>
            </w:pPr>
            <w:r>
              <w:rPr>
                <w:sz w:val="20"/>
              </w:rPr>
              <w:t xml:space="preserve">2019 года</w:t>
            </w:r>
          </w:p>
        </w:tc>
      </w:tr>
      <w:tr>
        <w:tc>
          <w:tcPr>
            <w:vMerge w:val="continue"/>
          </w:tcPr>
          <w:p/>
        </w:tc>
        <w:tc>
          <w:tcPr>
            <w:vMerge w:val="continue"/>
          </w:tcPr>
          <w:p/>
        </w:tc>
        <w:tc>
          <w:tcPr>
            <w:vMerge w:val="continue"/>
          </w:tcPr>
          <w:p/>
        </w:tc>
        <w:tc>
          <w:tcPr>
            <w:vMerge w:val="continue"/>
          </w:tcPr>
          <w:p/>
        </w:tc>
        <w:tc>
          <w:tcPr>
            <w:tcW w:w="1247" w:type="dxa"/>
          </w:tcPr>
          <w:p>
            <w:pPr>
              <w:pStyle w:val="0"/>
              <w:jc w:val="center"/>
            </w:pPr>
            <w:r>
              <w:rPr>
                <w:sz w:val="20"/>
              </w:rPr>
              <w:t xml:space="preserve">к уточненному плану на 2019 год</w:t>
            </w:r>
          </w:p>
        </w:tc>
        <w:tc>
          <w:tcPr>
            <w:tcW w:w="1247" w:type="dxa"/>
          </w:tcPr>
          <w:p>
            <w:pPr>
              <w:pStyle w:val="0"/>
              <w:jc w:val="center"/>
            </w:pPr>
            <w:r>
              <w:rPr>
                <w:sz w:val="20"/>
              </w:rPr>
              <w:t xml:space="preserve">к 2018 году</w:t>
            </w:r>
          </w:p>
        </w:tc>
      </w:tr>
      <w:tr>
        <w:tc>
          <w:tcPr>
            <w:tcW w:w="2551" w:type="dxa"/>
          </w:tcPr>
          <w:p>
            <w:pPr>
              <w:pStyle w:val="0"/>
            </w:pPr>
            <w:r>
              <w:rPr>
                <w:sz w:val="20"/>
              </w:rPr>
              <w:t xml:space="preserve">Налоговые и неналоговые доходы, всего</w:t>
            </w:r>
          </w:p>
        </w:tc>
        <w:tc>
          <w:tcPr>
            <w:tcW w:w="1415" w:type="dxa"/>
          </w:tcPr>
          <w:p>
            <w:pPr>
              <w:pStyle w:val="0"/>
              <w:jc w:val="center"/>
            </w:pPr>
            <w:r>
              <w:rPr>
                <w:sz w:val="20"/>
              </w:rPr>
              <w:t xml:space="preserve">56595,6</w:t>
            </w:r>
          </w:p>
        </w:tc>
        <w:tc>
          <w:tcPr>
            <w:tcW w:w="1191" w:type="dxa"/>
          </w:tcPr>
          <w:p>
            <w:pPr>
              <w:pStyle w:val="0"/>
              <w:jc w:val="center"/>
            </w:pPr>
            <w:r>
              <w:rPr>
                <w:sz w:val="20"/>
              </w:rPr>
              <w:t xml:space="preserve">58442,1</w:t>
            </w:r>
          </w:p>
        </w:tc>
        <w:tc>
          <w:tcPr>
            <w:tcW w:w="1417" w:type="dxa"/>
          </w:tcPr>
          <w:p>
            <w:pPr>
              <w:pStyle w:val="0"/>
              <w:jc w:val="center"/>
            </w:pPr>
            <w:r>
              <w:rPr>
                <w:sz w:val="20"/>
              </w:rPr>
              <w:t xml:space="preserve">60125,1</w:t>
            </w:r>
          </w:p>
        </w:tc>
        <w:tc>
          <w:tcPr>
            <w:tcW w:w="1247" w:type="dxa"/>
          </w:tcPr>
          <w:p>
            <w:pPr>
              <w:pStyle w:val="0"/>
              <w:jc w:val="center"/>
            </w:pPr>
            <w:r>
              <w:rPr>
                <w:sz w:val="20"/>
              </w:rPr>
              <w:t xml:space="preserve">102,9</w:t>
            </w:r>
          </w:p>
        </w:tc>
        <w:tc>
          <w:tcPr>
            <w:tcW w:w="1247" w:type="dxa"/>
          </w:tcPr>
          <w:p>
            <w:pPr>
              <w:pStyle w:val="0"/>
              <w:jc w:val="center"/>
            </w:pPr>
            <w:r>
              <w:rPr>
                <w:sz w:val="20"/>
              </w:rPr>
              <w:t xml:space="preserve">106,2</w:t>
            </w:r>
          </w:p>
        </w:tc>
      </w:tr>
      <w:tr>
        <w:tc>
          <w:tcPr>
            <w:tcW w:w="2551" w:type="dxa"/>
          </w:tcPr>
          <w:p>
            <w:pPr>
              <w:pStyle w:val="0"/>
            </w:pPr>
            <w:r>
              <w:rPr>
                <w:sz w:val="20"/>
              </w:rPr>
              <w:t xml:space="preserve">в том числе:</w:t>
            </w:r>
          </w:p>
        </w:tc>
        <w:tc>
          <w:tcPr>
            <w:tcW w:w="1415" w:type="dxa"/>
          </w:tcPr>
          <w:p>
            <w:pPr>
              <w:pStyle w:val="0"/>
            </w:pPr>
            <w:r>
              <w:rPr>
                <w:sz w:val="20"/>
              </w:rPr>
            </w:r>
          </w:p>
        </w:tc>
        <w:tc>
          <w:tcPr>
            <w:tcW w:w="1191" w:type="dxa"/>
          </w:tcPr>
          <w:p>
            <w:pPr>
              <w:pStyle w:val="0"/>
            </w:pPr>
            <w:r>
              <w:rPr>
                <w:sz w:val="20"/>
              </w:rPr>
            </w:r>
          </w:p>
        </w:tc>
        <w:tc>
          <w:tcPr>
            <w:tcW w:w="1417" w:type="dxa"/>
          </w:tcPr>
          <w:p>
            <w:pPr>
              <w:pStyle w:val="0"/>
            </w:pPr>
            <w:r>
              <w:rPr>
                <w:sz w:val="20"/>
              </w:rPr>
            </w:r>
          </w:p>
        </w:tc>
        <w:tc>
          <w:tcPr>
            <w:tcW w:w="1247" w:type="dxa"/>
          </w:tcPr>
          <w:p>
            <w:pPr>
              <w:pStyle w:val="0"/>
            </w:pPr>
            <w:r>
              <w:rPr>
                <w:sz w:val="20"/>
              </w:rPr>
            </w:r>
          </w:p>
        </w:tc>
        <w:tc>
          <w:tcPr>
            <w:tcW w:w="1247" w:type="dxa"/>
          </w:tcPr>
          <w:p>
            <w:pPr>
              <w:pStyle w:val="0"/>
            </w:pPr>
            <w:r>
              <w:rPr>
                <w:sz w:val="20"/>
              </w:rPr>
            </w:r>
          </w:p>
        </w:tc>
      </w:tr>
      <w:tr>
        <w:tc>
          <w:tcPr>
            <w:tcW w:w="2551" w:type="dxa"/>
          </w:tcPr>
          <w:p>
            <w:pPr>
              <w:pStyle w:val="0"/>
            </w:pPr>
            <w:r>
              <w:rPr>
                <w:sz w:val="20"/>
              </w:rPr>
              <w:t xml:space="preserve">Налоговые доходы</w:t>
            </w:r>
          </w:p>
        </w:tc>
        <w:tc>
          <w:tcPr>
            <w:tcW w:w="1415" w:type="dxa"/>
          </w:tcPr>
          <w:p>
            <w:pPr>
              <w:pStyle w:val="0"/>
              <w:jc w:val="center"/>
            </w:pPr>
            <w:r>
              <w:rPr>
                <w:sz w:val="20"/>
              </w:rPr>
              <w:t xml:space="preserve">53929,3</w:t>
            </w:r>
          </w:p>
        </w:tc>
        <w:tc>
          <w:tcPr>
            <w:tcW w:w="1191" w:type="dxa"/>
          </w:tcPr>
          <w:p>
            <w:pPr>
              <w:pStyle w:val="0"/>
              <w:jc w:val="center"/>
            </w:pPr>
            <w:r>
              <w:rPr>
                <w:sz w:val="20"/>
              </w:rPr>
              <w:t xml:space="preserve">55639,2</w:t>
            </w:r>
          </w:p>
        </w:tc>
        <w:tc>
          <w:tcPr>
            <w:tcW w:w="1417" w:type="dxa"/>
          </w:tcPr>
          <w:p>
            <w:pPr>
              <w:pStyle w:val="0"/>
              <w:jc w:val="center"/>
            </w:pPr>
            <w:r>
              <w:rPr>
                <w:sz w:val="20"/>
              </w:rPr>
              <w:t xml:space="preserve">57293,9</w:t>
            </w:r>
          </w:p>
        </w:tc>
        <w:tc>
          <w:tcPr>
            <w:tcW w:w="1247" w:type="dxa"/>
          </w:tcPr>
          <w:p>
            <w:pPr>
              <w:pStyle w:val="0"/>
              <w:jc w:val="center"/>
            </w:pPr>
            <w:r>
              <w:rPr>
                <w:sz w:val="20"/>
              </w:rPr>
              <w:t xml:space="preserve">103,0</w:t>
            </w:r>
          </w:p>
        </w:tc>
        <w:tc>
          <w:tcPr>
            <w:tcW w:w="1247" w:type="dxa"/>
          </w:tcPr>
          <w:p>
            <w:pPr>
              <w:pStyle w:val="0"/>
              <w:jc w:val="center"/>
            </w:pPr>
            <w:r>
              <w:rPr>
                <w:sz w:val="20"/>
              </w:rPr>
              <w:t xml:space="preserve">106,2</w:t>
            </w:r>
          </w:p>
        </w:tc>
      </w:tr>
      <w:tr>
        <w:tc>
          <w:tcPr>
            <w:tcW w:w="2551" w:type="dxa"/>
          </w:tcPr>
          <w:p>
            <w:pPr>
              <w:pStyle w:val="0"/>
            </w:pPr>
            <w:r>
              <w:rPr>
                <w:sz w:val="20"/>
              </w:rPr>
              <w:t xml:space="preserve">из них:</w:t>
            </w:r>
          </w:p>
        </w:tc>
        <w:tc>
          <w:tcPr>
            <w:tcW w:w="1415" w:type="dxa"/>
          </w:tcPr>
          <w:p>
            <w:pPr>
              <w:pStyle w:val="0"/>
            </w:pPr>
            <w:r>
              <w:rPr>
                <w:sz w:val="20"/>
              </w:rPr>
            </w:r>
          </w:p>
        </w:tc>
        <w:tc>
          <w:tcPr>
            <w:tcW w:w="1191" w:type="dxa"/>
          </w:tcPr>
          <w:p>
            <w:pPr>
              <w:pStyle w:val="0"/>
            </w:pPr>
            <w:r>
              <w:rPr>
                <w:sz w:val="20"/>
              </w:rPr>
            </w:r>
          </w:p>
        </w:tc>
        <w:tc>
          <w:tcPr>
            <w:tcW w:w="1417" w:type="dxa"/>
          </w:tcPr>
          <w:p>
            <w:pPr>
              <w:pStyle w:val="0"/>
            </w:pPr>
            <w:r>
              <w:rPr>
                <w:sz w:val="20"/>
              </w:rPr>
            </w:r>
          </w:p>
        </w:tc>
        <w:tc>
          <w:tcPr>
            <w:tcW w:w="1247" w:type="dxa"/>
          </w:tcPr>
          <w:p>
            <w:pPr>
              <w:pStyle w:val="0"/>
            </w:pPr>
            <w:r>
              <w:rPr>
                <w:sz w:val="20"/>
              </w:rPr>
            </w:r>
          </w:p>
        </w:tc>
        <w:tc>
          <w:tcPr>
            <w:tcW w:w="1247" w:type="dxa"/>
          </w:tcPr>
          <w:p>
            <w:pPr>
              <w:pStyle w:val="0"/>
            </w:pPr>
            <w:r>
              <w:rPr>
                <w:sz w:val="20"/>
              </w:rPr>
            </w:r>
          </w:p>
        </w:tc>
      </w:tr>
      <w:tr>
        <w:tc>
          <w:tcPr>
            <w:tcW w:w="2551" w:type="dxa"/>
          </w:tcPr>
          <w:p>
            <w:pPr>
              <w:pStyle w:val="0"/>
            </w:pPr>
            <w:r>
              <w:rPr>
                <w:sz w:val="20"/>
              </w:rPr>
              <w:t xml:space="preserve">Налоги на прибыль, доход</w:t>
            </w:r>
          </w:p>
        </w:tc>
        <w:tc>
          <w:tcPr>
            <w:tcW w:w="1415" w:type="dxa"/>
          </w:tcPr>
          <w:p>
            <w:pPr>
              <w:pStyle w:val="0"/>
              <w:jc w:val="center"/>
            </w:pPr>
            <w:r>
              <w:rPr>
                <w:sz w:val="20"/>
              </w:rPr>
              <w:t xml:space="preserve">36378,6</w:t>
            </w:r>
          </w:p>
        </w:tc>
        <w:tc>
          <w:tcPr>
            <w:tcW w:w="1191" w:type="dxa"/>
          </w:tcPr>
          <w:p>
            <w:pPr>
              <w:pStyle w:val="0"/>
              <w:jc w:val="center"/>
            </w:pPr>
            <w:r>
              <w:rPr>
                <w:sz w:val="20"/>
              </w:rPr>
              <w:t xml:space="preserve">36930,0</w:t>
            </w:r>
          </w:p>
        </w:tc>
        <w:tc>
          <w:tcPr>
            <w:tcW w:w="1417" w:type="dxa"/>
          </w:tcPr>
          <w:p>
            <w:pPr>
              <w:pStyle w:val="0"/>
              <w:jc w:val="center"/>
            </w:pPr>
            <w:r>
              <w:rPr>
                <w:sz w:val="20"/>
              </w:rPr>
              <w:t xml:space="preserve">38268</w:t>
            </w:r>
          </w:p>
        </w:tc>
        <w:tc>
          <w:tcPr>
            <w:tcW w:w="1247" w:type="dxa"/>
          </w:tcPr>
          <w:p>
            <w:pPr>
              <w:pStyle w:val="0"/>
              <w:jc w:val="center"/>
            </w:pPr>
            <w:r>
              <w:rPr>
                <w:sz w:val="20"/>
              </w:rPr>
              <w:t xml:space="preserve">103,6</w:t>
            </w:r>
          </w:p>
        </w:tc>
        <w:tc>
          <w:tcPr>
            <w:tcW w:w="1247" w:type="dxa"/>
          </w:tcPr>
          <w:p>
            <w:pPr>
              <w:pStyle w:val="0"/>
              <w:jc w:val="center"/>
            </w:pPr>
            <w:r>
              <w:rPr>
                <w:sz w:val="20"/>
              </w:rPr>
              <w:t xml:space="preserve">105,2</w:t>
            </w:r>
          </w:p>
        </w:tc>
      </w:tr>
      <w:tr>
        <w:tc>
          <w:tcPr>
            <w:tcW w:w="2551" w:type="dxa"/>
          </w:tcPr>
          <w:p>
            <w:pPr>
              <w:pStyle w:val="0"/>
            </w:pPr>
            <w:r>
              <w:rPr>
                <w:sz w:val="20"/>
              </w:rPr>
              <w:t xml:space="preserve">Акцизы по подакцизным товарам</w:t>
            </w:r>
          </w:p>
        </w:tc>
        <w:tc>
          <w:tcPr>
            <w:tcW w:w="1415" w:type="dxa"/>
          </w:tcPr>
          <w:p>
            <w:pPr>
              <w:pStyle w:val="0"/>
              <w:jc w:val="center"/>
            </w:pPr>
            <w:r>
              <w:rPr>
                <w:sz w:val="20"/>
              </w:rPr>
              <w:t xml:space="preserve">4438,3</w:t>
            </w:r>
          </w:p>
        </w:tc>
        <w:tc>
          <w:tcPr>
            <w:tcW w:w="1191" w:type="dxa"/>
          </w:tcPr>
          <w:p>
            <w:pPr>
              <w:pStyle w:val="0"/>
              <w:jc w:val="center"/>
            </w:pPr>
            <w:r>
              <w:rPr>
                <w:sz w:val="20"/>
              </w:rPr>
              <w:t xml:space="preserve">5077,0</w:t>
            </w:r>
          </w:p>
        </w:tc>
        <w:tc>
          <w:tcPr>
            <w:tcW w:w="1417" w:type="dxa"/>
          </w:tcPr>
          <w:p>
            <w:pPr>
              <w:pStyle w:val="0"/>
              <w:jc w:val="center"/>
            </w:pPr>
            <w:r>
              <w:rPr>
                <w:sz w:val="20"/>
              </w:rPr>
              <w:t xml:space="preserve">5471,0</w:t>
            </w:r>
          </w:p>
        </w:tc>
        <w:tc>
          <w:tcPr>
            <w:tcW w:w="1247" w:type="dxa"/>
          </w:tcPr>
          <w:p>
            <w:pPr>
              <w:pStyle w:val="0"/>
              <w:jc w:val="center"/>
            </w:pPr>
            <w:r>
              <w:rPr>
                <w:sz w:val="20"/>
              </w:rPr>
              <w:t xml:space="preserve">107,8</w:t>
            </w:r>
          </w:p>
        </w:tc>
        <w:tc>
          <w:tcPr>
            <w:tcW w:w="1247" w:type="dxa"/>
          </w:tcPr>
          <w:p>
            <w:pPr>
              <w:pStyle w:val="0"/>
              <w:jc w:val="center"/>
            </w:pPr>
            <w:r>
              <w:rPr>
                <w:sz w:val="20"/>
              </w:rPr>
              <w:t xml:space="preserve">123,3</w:t>
            </w:r>
          </w:p>
        </w:tc>
      </w:tr>
      <w:tr>
        <w:tc>
          <w:tcPr>
            <w:tcW w:w="2551" w:type="dxa"/>
          </w:tcPr>
          <w:p>
            <w:pPr>
              <w:pStyle w:val="0"/>
            </w:pPr>
            <w:r>
              <w:rPr>
                <w:sz w:val="20"/>
              </w:rPr>
              <w:t xml:space="preserve">Налоги на совокупный доход</w:t>
            </w:r>
          </w:p>
        </w:tc>
        <w:tc>
          <w:tcPr>
            <w:tcW w:w="1415" w:type="dxa"/>
          </w:tcPr>
          <w:p>
            <w:pPr>
              <w:pStyle w:val="0"/>
              <w:jc w:val="center"/>
            </w:pPr>
            <w:r>
              <w:rPr>
                <w:sz w:val="20"/>
              </w:rPr>
              <w:t xml:space="preserve">4219,3</w:t>
            </w:r>
          </w:p>
        </w:tc>
        <w:tc>
          <w:tcPr>
            <w:tcW w:w="1191" w:type="dxa"/>
          </w:tcPr>
          <w:p>
            <w:pPr>
              <w:pStyle w:val="0"/>
              <w:jc w:val="center"/>
            </w:pPr>
            <w:r>
              <w:rPr>
                <w:sz w:val="20"/>
              </w:rPr>
              <w:t xml:space="preserve">4492,4</w:t>
            </w:r>
          </w:p>
        </w:tc>
        <w:tc>
          <w:tcPr>
            <w:tcW w:w="1417" w:type="dxa"/>
          </w:tcPr>
          <w:p>
            <w:pPr>
              <w:pStyle w:val="0"/>
              <w:jc w:val="center"/>
            </w:pPr>
            <w:r>
              <w:rPr>
                <w:sz w:val="20"/>
              </w:rPr>
              <w:t xml:space="preserve">4748,7</w:t>
            </w:r>
          </w:p>
        </w:tc>
        <w:tc>
          <w:tcPr>
            <w:tcW w:w="1247" w:type="dxa"/>
          </w:tcPr>
          <w:p>
            <w:pPr>
              <w:pStyle w:val="0"/>
              <w:jc w:val="center"/>
            </w:pPr>
            <w:r>
              <w:rPr>
                <w:sz w:val="20"/>
              </w:rPr>
              <w:t xml:space="preserve">105,7</w:t>
            </w:r>
          </w:p>
        </w:tc>
        <w:tc>
          <w:tcPr>
            <w:tcW w:w="1247" w:type="dxa"/>
          </w:tcPr>
          <w:p>
            <w:pPr>
              <w:pStyle w:val="0"/>
              <w:jc w:val="center"/>
            </w:pPr>
            <w:r>
              <w:rPr>
                <w:sz w:val="20"/>
              </w:rPr>
              <w:t xml:space="preserve">112,5</w:t>
            </w:r>
          </w:p>
        </w:tc>
      </w:tr>
      <w:tr>
        <w:tc>
          <w:tcPr>
            <w:tcW w:w="2551" w:type="dxa"/>
          </w:tcPr>
          <w:p>
            <w:pPr>
              <w:pStyle w:val="0"/>
            </w:pPr>
            <w:r>
              <w:rPr>
                <w:sz w:val="20"/>
              </w:rPr>
              <w:t xml:space="preserve">Налоги на имущество</w:t>
            </w:r>
          </w:p>
        </w:tc>
        <w:tc>
          <w:tcPr>
            <w:tcW w:w="1415" w:type="dxa"/>
          </w:tcPr>
          <w:p>
            <w:pPr>
              <w:pStyle w:val="0"/>
              <w:jc w:val="center"/>
            </w:pPr>
            <w:r>
              <w:rPr>
                <w:sz w:val="20"/>
              </w:rPr>
              <w:t xml:space="preserve">8334,3</w:t>
            </w:r>
          </w:p>
        </w:tc>
        <w:tc>
          <w:tcPr>
            <w:tcW w:w="1191" w:type="dxa"/>
          </w:tcPr>
          <w:p>
            <w:pPr>
              <w:pStyle w:val="0"/>
              <w:jc w:val="center"/>
            </w:pPr>
            <w:r>
              <w:rPr>
                <w:sz w:val="20"/>
              </w:rPr>
              <w:t xml:space="preserve">8599,0</w:t>
            </w:r>
          </w:p>
        </w:tc>
        <w:tc>
          <w:tcPr>
            <w:tcW w:w="1417" w:type="dxa"/>
          </w:tcPr>
          <w:p>
            <w:pPr>
              <w:pStyle w:val="0"/>
              <w:jc w:val="center"/>
            </w:pPr>
            <w:r>
              <w:rPr>
                <w:sz w:val="20"/>
              </w:rPr>
              <w:t xml:space="preserve">8257,6</w:t>
            </w:r>
          </w:p>
        </w:tc>
        <w:tc>
          <w:tcPr>
            <w:tcW w:w="1247" w:type="dxa"/>
          </w:tcPr>
          <w:p>
            <w:pPr>
              <w:pStyle w:val="0"/>
              <w:jc w:val="center"/>
            </w:pPr>
            <w:r>
              <w:rPr>
                <w:sz w:val="20"/>
              </w:rPr>
              <w:t xml:space="preserve">96,0</w:t>
            </w:r>
          </w:p>
        </w:tc>
        <w:tc>
          <w:tcPr>
            <w:tcW w:w="1247" w:type="dxa"/>
          </w:tcPr>
          <w:p>
            <w:pPr>
              <w:pStyle w:val="0"/>
              <w:jc w:val="center"/>
            </w:pPr>
            <w:r>
              <w:rPr>
                <w:sz w:val="20"/>
              </w:rPr>
              <w:t xml:space="preserve">99,1</w:t>
            </w:r>
          </w:p>
        </w:tc>
      </w:tr>
      <w:tr>
        <w:tc>
          <w:tcPr>
            <w:tcW w:w="2551" w:type="dxa"/>
          </w:tcPr>
          <w:p>
            <w:pPr>
              <w:pStyle w:val="0"/>
            </w:pPr>
            <w:r>
              <w:rPr>
                <w:sz w:val="20"/>
              </w:rPr>
              <w:t xml:space="preserve">Неналоговые доходы</w:t>
            </w:r>
          </w:p>
        </w:tc>
        <w:tc>
          <w:tcPr>
            <w:tcW w:w="1415" w:type="dxa"/>
          </w:tcPr>
          <w:p>
            <w:pPr>
              <w:pStyle w:val="0"/>
              <w:jc w:val="center"/>
            </w:pPr>
            <w:r>
              <w:rPr>
                <w:sz w:val="20"/>
              </w:rPr>
              <w:t xml:space="preserve">2666,3</w:t>
            </w:r>
          </w:p>
        </w:tc>
        <w:tc>
          <w:tcPr>
            <w:tcW w:w="1191" w:type="dxa"/>
          </w:tcPr>
          <w:p>
            <w:pPr>
              <w:pStyle w:val="0"/>
              <w:jc w:val="center"/>
            </w:pPr>
            <w:r>
              <w:rPr>
                <w:sz w:val="20"/>
              </w:rPr>
              <w:t xml:space="preserve">2802,9</w:t>
            </w:r>
          </w:p>
        </w:tc>
        <w:tc>
          <w:tcPr>
            <w:tcW w:w="1417" w:type="dxa"/>
          </w:tcPr>
          <w:p>
            <w:pPr>
              <w:pStyle w:val="0"/>
              <w:jc w:val="center"/>
            </w:pPr>
            <w:r>
              <w:rPr>
                <w:sz w:val="20"/>
              </w:rPr>
              <w:t xml:space="preserve">2831,2</w:t>
            </w:r>
          </w:p>
        </w:tc>
        <w:tc>
          <w:tcPr>
            <w:tcW w:w="1247" w:type="dxa"/>
          </w:tcPr>
          <w:p>
            <w:pPr>
              <w:pStyle w:val="0"/>
              <w:jc w:val="center"/>
            </w:pPr>
            <w:r>
              <w:rPr>
                <w:sz w:val="20"/>
              </w:rPr>
              <w:t xml:space="preserve">101,0</w:t>
            </w:r>
          </w:p>
        </w:tc>
        <w:tc>
          <w:tcPr>
            <w:tcW w:w="1247" w:type="dxa"/>
          </w:tcPr>
          <w:p>
            <w:pPr>
              <w:pStyle w:val="0"/>
              <w:jc w:val="center"/>
            </w:pPr>
            <w:r>
              <w:rPr>
                <w:sz w:val="20"/>
              </w:rPr>
              <w:t xml:space="preserve">106,2</w:t>
            </w:r>
          </w:p>
        </w:tc>
      </w:tr>
    </w:tbl>
    <w:p>
      <w:pPr>
        <w:pStyle w:val="0"/>
        <w:jc w:val="both"/>
      </w:pPr>
      <w:r>
        <w:rPr>
          <w:sz w:val="20"/>
        </w:rPr>
      </w:r>
    </w:p>
    <w:p>
      <w:pPr>
        <w:pStyle w:val="0"/>
        <w:ind w:firstLine="540"/>
        <w:jc w:val="both"/>
      </w:pPr>
      <w:r>
        <w:rPr>
          <w:sz w:val="20"/>
        </w:rPr>
        <w:t xml:space="preserve">Лидерами по объему уплаченных на территории области налогов являются 10 организаций региона: ООО "Мон'дэлис Русь", ОАО "Завод им. В.А. Дегтярева", АО "Генериум", ЗАО "Ферреро Руссия", ООО "Торговый дом "Аскона", ОАО "Ковровский электромеханический завод", ООО "Аскона-Век", ООО "Верофарм". На долю всех вышеуказанных организаций приходится 22,1% мобилизованных на территории области доходов.</w:t>
      </w:r>
    </w:p>
    <w:p>
      <w:pPr>
        <w:pStyle w:val="0"/>
        <w:spacing w:before="200" w:line-rule="auto"/>
        <w:ind w:firstLine="540"/>
        <w:jc w:val="both"/>
      </w:pPr>
      <w:r>
        <w:rPr>
          <w:sz w:val="20"/>
        </w:rPr>
        <w:t xml:space="preserve">В 2019 году обеспечено выполнение условий соглашения по социально-экономическому развитию и оздоровлению государственных финансов области, заключенного между администрацией области и Министерством финансов Российской Федерации. План мероприятий по оздоровлению государственных финансов области, направленный на повышение налогового потенциала, выполнен, в том числе за счет увеличения налогооблагаемой базы, улучшения администрирования платежей, поддержки инвесторов и субъектов малого и среднего предпринимательства, увеличения собираемости налогов. Бюджетный эффект от реализации указанного плана в виде прироста налоговых и неналоговых доходов консолидированного бюджета области составил 3530 млн. рублей.</w:t>
      </w:r>
    </w:p>
    <w:p>
      <w:pPr>
        <w:pStyle w:val="0"/>
        <w:jc w:val="both"/>
      </w:pPr>
      <w:r>
        <w:rPr>
          <w:sz w:val="20"/>
        </w:rPr>
      </w:r>
    </w:p>
    <w:p>
      <w:pPr>
        <w:pStyle w:val="2"/>
        <w:outlineLvl w:val="1"/>
        <w:jc w:val="center"/>
      </w:pPr>
      <w:r>
        <w:rPr>
          <w:sz w:val="20"/>
        </w:rPr>
        <w:t xml:space="preserve">II. Основные проблемы реализации налоговой политики</w:t>
      </w:r>
    </w:p>
    <w:p>
      <w:pPr>
        <w:pStyle w:val="2"/>
        <w:jc w:val="center"/>
      </w:pPr>
      <w:r>
        <w:rPr>
          <w:sz w:val="20"/>
        </w:rPr>
        <w:t xml:space="preserve">в 2020 году</w:t>
      </w:r>
    </w:p>
    <w:p>
      <w:pPr>
        <w:pStyle w:val="0"/>
        <w:jc w:val="both"/>
      </w:pPr>
      <w:r>
        <w:rPr>
          <w:sz w:val="20"/>
        </w:rPr>
      </w:r>
    </w:p>
    <w:p>
      <w:pPr>
        <w:pStyle w:val="0"/>
        <w:ind w:firstLine="540"/>
        <w:jc w:val="both"/>
      </w:pPr>
      <w:r>
        <w:rPr>
          <w:sz w:val="20"/>
        </w:rPr>
        <w:t xml:space="preserve">Для бюджетной системы области в 2020 году имеются риски, обусловленные сложившейся экономической ситуацией в России в связи с распространением COVID-19 и принятием мер по устранению последствий коронавирусной инфекции.</w:t>
      </w:r>
    </w:p>
    <w:p>
      <w:pPr>
        <w:pStyle w:val="0"/>
        <w:spacing w:before="200" w:line-rule="auto"/>
        <w:ind w:firstLine="540"/>
        <w:jc w:val="both"/>
      </w:pPr>
      <w:r>
        <w:rPr>
          <w:sz w:val="20"/>
        </w:rPr>
        <w:t xml:space="preserve">В 2020 году ожидается значительное уменьшение объема налоговых и неналоговых доходов в связи со снижением показателей </w:t>
      </w:r>
      <w:hyperlink w:history="0" r:id="rId15" w:tooltip="Распоряжение администрации Владимирской обл. от 12.09.2019 N 754-р (с изм. от 03.10.2019) &quot;О прогнозе социально-экономического развития Владимирской области на 2020 - 2024 годы&quot; (вместе с &quot;Прогнозом социально-экономического развития Владимирской области на среднесрочный период 2020 - 2024 годов&quot;) {КонсультантПлюс}">
        <w:r>
          <w:rPr>
            <w:sz w:val="20"/>
            <w:color w:val="0000ff"/>
          </w:rPr>
          <w:t xml:space="preserve">прогноза</w:t>
        </w:r>
      </w:hyperlink>
      <w:r>
        <w:rPr>
          <w:sz w:val="20"/>
        </w:rPr>
        <w:t xml:space="preserve"> социально-экономического развития области на 2020 год и на 2021 - 2023 годы, утвержденных распоряжениями администрации области от 12 сентября 2019 г. N 754-р "О прогнозе социально-экономического развития Владимирской области на 2020 - 2024 годы".</w:t>
      </w:r>
    </w:p>
    <w:p>
      <w:pPr>
        <w:pStyle w:val="0"/>
        <w:spacing w:before="200" w:line-rule="auto"/>
        <w:ind w:firstLine="540"/>
        <w:jc w:val="both"/>
      </w:pPr>
      <w:r>
        <w:rPr>
          <w:sz w:val="20"/>
        </w:rPr>
        <w:t xml:space="preserve">Уточненные прогнозные данные на 2020 год снижены по отношению к утвержденным распоряжениями администрации области показателям: по объему валового регионального продукта - на 2,3%, прибыли прибыльных организаций - на 5,5%; инвестиций - на 1,7%, фонда оплаты труда работников - на 3,4%. Снижение показателей в 2020 году повлияет на основные параметры прогноза социально-экономического развития области, прогнозируемые на последующие периоды.</w:t>
      </w:r>
    </w:p>
    <w:p>
      <w:pPr>
        <w:pStyle w:val="0"/>
        <w:spacing w:before="200" w:line-rule="auto"/>
        <w:ind w:firstLine="540"/>
        <w:jc w:val="both"/>
      </w:pPr>
      <w:r>
        <w:rPr>
          <w:sz w:val="20"/>
        </w:rPr>
        <w:t xml:space="preserve">Ухудшение финансового положения организаций области подтверждается результатами мониторинга экономической и социальной ситуации в области. У отдельных предприятий области, обратившихся в региональный ситуационный центр, созданный при Управлении Федеральной налоговой службы по Владимирской области, отмечаются:</w:t>
      </w:r>
    </w:p>
    <w:p>
      <w:pPr>
        <w:pStyle w:val="0"/>
        <w:spacing w:before="200" w:line-rule="auto"/>
        <w:ind w:firstLine="540"/>
        <w:jc w:val="both"/>
      </w:pPr>
      <w:r>
        <w:rPr>
          <w:sz w:val="20"/>
        </w:rPr>
        <w:t xml:space="preserve">- снижение доходов от реализации продукции в связи с приостановлением обязательств по контрактам с поставщиками комплектующих изделий из Европы и Китая;</w:t>
      </w:r>
    </w:p>
    <w:p>
      <w:pPr>
        <w:pStyle w:val="0"/>
        <w:spacing w:before="200" w:line-rule="auto"/>
        <w:ind w:firstLine="540"/>
        <w:jc w:val="both"/>
      </w:pPr>
      <w:r>
        <w:rPr>
          <w:sz w:val="20"/>
        </w:rPr>
        <w:t xml:space="preserve">- перебои в поставке импортных комплектующих для производства продукции;</w:t>
      </w:r>
    </w:p>
    <w:p>
      <w:pPr>
        <w:pStyle w:val="0"/>
        <w:spacing w:before="200" w:line-rule="auto"/>
        <w:ind w:firstLine="540"/>
        <w:jc w:val="both"/>
      </w:pPr>
      <w:r>
        <w:rPr>
          <w:sz w:val="20"/>
        </w:rPr>
        <w:t xml:space="preserve">- снижение спроса на рынке из-за перераспределения денежных потоков населения в пользу продовольственных товаров;</w:t>
      </w:r>
    </w:p>
    <w:p>
      <w:pPr>
        <w:pStyle w:val="0"/>
        <w:spacing w:before="200" w:line-rule="auto"/>
        <w:ind w:firstLine="540"/>
        <w:jc w:val="both"/>
      </w:pPr>
      <w:r>
        <w:rPr>
          <w:sz w:val="20"/>
        </w:rPr>
        <w:t xml:space="preserve">- отказы контрагентов, работающих в сфере оптовой и розничной торговли, от значительной части заказов на продукцию собственного производства, в том числе забронированных ранее, а также отказы партнеров - заказчиков на изготовление продукции из давальческого сырья.</w:t>
      </w:r>
    </w:p>
    <w:p>
      <w:pPr>
        <w:pStyle w:val="0"/>
        <w:spacing w:before="200" w:line-rule="auto"/>
        <w:ind w:firstLine="540"/>
        <w:jc w:val="both"/>
      </w:pPr>
      <w:r>
        <w:rPr>
          <w:sz w:val="20"/>
        </w:rPr>
        <w:t xml:space="preserve">Кроме того, на снижение налоговых доходов окажут влияние принимаемые меры по изменению сроков уплаты платежей для субъектов малого и среднего предпринимательства.</w:t>
      </w:r>
    </w:p>
    <w:p>
      <w:pPr>
        <w:pStyle w:val="0"/>
        <w:spacing w:before="200" w:line-rule="auto"/>
        <w:ind w:firstLine="540"/>
        <w:jc w:val="both"/>
      </w:pPr>
      <w:hyperlink w:history="0" r:id="rId16" w:tooltip="Постановление Правительства РФ от 02.04.2020 N 409 (ред. от 07.11.2020) &quot;О мерах по обеспечению устойчивого развития экономики&quot; (вместе с &quot;Правилами предоставления отсрочки (рассрочки) по уплате налогов, авансовых платежей по налогам и страховых взносов&quot;, &quot;Перечнем видов экономической деятельности для целей применения подпункта &quot;г&quot; пункта 1 постановления Правительства Российской Федерации от 2 апреля 2020 г. N 409&quot;) {КонсультантПлюс}">
        <w:r>
          <w:rPr>
            <w:sz w:val="20"/>
            <w:color w:val="0000ff"/>
          </w:rPr>
          <w:t xml:space="preserve">Постановлением</w:t>
        </w:r>
      </w:hyperlink>
      <w:r>
        <w:rPr>
          <w:sz w:val="20"/>
        </w:rPr>
        <w:t xml:space="preserve"> Правительства Российской Федерации от 2 апреля 2020 г. N 409 "О мерах по обеспечению устойчивого развития экономики" предусматривается для субъектов малого и среднего предпринимательства, ведущих деятельность в отраслях российской экономики, в наибольшей степени пострадавших, в том числе в результате распространения новой коронавирусной инфекции COVID-19, продление на шесть месяцев срока уплаты налога на прибыль организаций, налога, уплачиваемого в связи с применением упрощенной системы налогообложения, единого сельскохозяйственного налога за 2019 год. Перенесен на шесть месяцев срок уплаты по всем налоговым платежам, за исключением налога на добавленную стоимость, за 1 квартал 2020 года и на четыре месяца - за полугодие (2 квартал) 2020 года. Сроки уплаты авансовых платежей по транспортному налогу, налогу на имущество организаций и земельному налогу за первый квартал 2020 года перенесены на 30 октября 2020 года, за второй квартал 2020 года - на 30 декабря 2020 года.</w:t>
      </w:r>
    </w:p>
    <w:p>
      <w:pPr>
        <w:pStyle w:val="0"/>
        <w:spacing w:before="200" w:line-rule="auto"/>
        <w:ind w:firstLine="540"/>
        <w:jc w:val="both"/>
      </w:pPr>
      <w:r>
        <w:rPr>
          <w:sz w:val="20"/>
        </w:rPr>
        <w:t xml:space="preserve">Для поддержки малого и среднего предпринимательства, осуществляющего деятельность в отраслях экономики, наиболее пострадавших в условиях распространения коронавирусной инфекции, предусматриваются на региональном уровне на 2020 год:</w:t>
      </w:r>
    </w:p>
    <w:p>
      <w:pPr>
        <w:pStyle w:val="0"/>
        <w:spacing w:before="200" w:line-rule="auto"/>
        <w:ind w:firstLine="540"/>
        <w:jc w:val="both"/>
      </w:pPr>
      <w:r>
        <w:rPr>
          <w:sz w:val="20"/>
        </w:rPr>
        <w:t xml:space="preserve">- налоговые льготы по налогу на имущество для организаций и индивидуальных предпринимателей, которые снижают размер арендных платежей или предоставляют отсрочку по платежам наиболее пострадавшим предпринимателям;</w:t>
      </w:r>
    </w:p>
    <w:p>
      <w:pPr>
        <w:pStyle w:val="0"/>
        <w:spacing w:before="200" w:line-rule="auto"/>
        <w:ind w:firstLine="540"/>
        <w:jc w:val="both"/>
      </w:pPr>
      <w:r>
        <w:rPr>
          <w:sz w:val="20"/>
        </w:rPr>
        <w:t xml:space="preserve">- снижение ставок налога, взимаемого по упрощенной системе налогообложения, до 2% - для предпринимателей, у которых налогооблагаемой базой являются доходы, до 5% - для предпринимателей, у которых налогооблагаемой базой являются доходы, уменьшенные на величину расходов;</w:t>
      </w:r>
    </w:p>
    <w:p>
      <w:pPr>
        <w:pStyle w:val="0"/>
        <w:spacing w:before="200" w:line-rule="auto"/>
        <w:ind w:firstLine="540"/>
        <w:jc w:val="both"/>
      </w:pPr>
      <w:r>
        <w:rPr>
          <w:sz w:val="20"/>
        </w:rPr>
        <w:t xml:space="preserve">- снижение на 50% размера годового дохода для исчисления налога по патентной системе налогообложения;</w:t>
      </w:r>
    </w:p>
    <w:p>
      <w:pPr>
        <w:pStyle w:val="0"/>
        <w:spacing w:before="200" w:line-rule="auto"/>
        <w:ind w:firstLine="540"/>
        <w:jc w:val="both"/>
      </w:pPr>
      <w:r>
        <w:rPr>
          <w:sz w:val="20"/>
        </w:rPr>
        <w:t xml:space="preserve">- освобождение от уплаты транспортного налога.</w:t>
      </w:r>
    </w:p>
    <w:p>
      <w:pPr>
        <w:pStyle w:val="0"/>
        <w:spacing w:before="200" w:line-rule="auto"/>
        <w:ind w:firstLine="540"/>
        <w:jc w:val="both"/>
      </w:pPr>
      <w:r>
        <w:rPr>
          <w:sz w:val="20"/>
        </w:rPr>
        <w:t xml:space="preserve">Во исполнение </w:t>
      </w:r>
      <w:hyperlink w:history="0" r:id="rId17" w:tooltip="Распоряжение Правительства РФ от 19.03.2020 N 670-р (ред. от 11.07.2020) &lt;О мерах поддержки субъектов малого и среднего предпринимательства&gt; {КонсультантПлюс}">
        <w:r>
          <w:rPr>
            <w:sz w:val="20"/>
            <w:color w:val="0000ff"/>
          </w:rPr>
          <w:t xml:space="preserve">распоряжения</w:t>
        </w:r>
      </w:hyperlink>
      <w:r>
        <w:rPr>
          <w:sz w:val="20"/>
        </w:rPr>
        <w:t xml:space="preserve"> Правительства Российской Федерации от 19 марта 2020 г. N 670-р "О мерах поддержки субъектов малого и среднего предпринимательства" принят </w:t>
      </w:r>
      <w:hyperlink w:history="0" r:id="rId18" w:tooltip="Указ Губернатора Владимирской области от 27.03.2020 N 54 (ред. от 05.08.2020) &quot;Об установлении понижающего коэффициента по договорам аренды в связи с введением в действие режима повышенной готовности&quot; ------------ Утратил силу или отменен {КонсультантПлюс}">
        <w:r>
          <w:rPr>
            <w:sz w:val="20"/>
            <w:color w:val="0000ff"/>
          </w:rPr>
          <w:t xml:space="preserve">Указ</w:t>
        </w:r>
      </w:hyperlink>
      <w:r>
        <w:rPr>
          <w:sz w:val="20"/>
        </w:rPr>
        <w:t xml:space="preserve"> Губернатора области от 27 марта 2020 г. N 54 "Об установлении понижающего коэффициента и отсрочки по договорам аренды с субъектами малого и среднего предпринимательства на период действия режима повышенной готовности", которым на период введения режима повышенной готовности (на период временного приостановления деятельности) субъектам малого и среднего предпринимательства установлен понижающий коэффициент 0,5 к размеру арендной платы за пользование государственным имуществом области (за исключением земельных участков). Также субъектам малого и среднего предпринимательства на срок, равный двукратному сроку режима повышенной готовности, установлена отсрочка арендной платы по договорам аренды государственного имущества области (за исключением земельных участков).</w:t>
      </w:r>
    </w:p>
    <w:p>
      <w:pPr>
        <w:pStyle w:val="0"/>
        <w:spacing w:before="200" w:line-rule="auto"/>
        <w:ind w:firstLine="540"/>
        <w:jc w:val="both"/>
      </w:pPr>
      <w:r>
        <w:rPr>
          <w:sz w:val="20"/>
        </w:rPr>
        <w:t xml:space="preserve">Согласно </w:t>
      </w:r>
      <w:hyperlink w:history="0" r:id="rId19" w:tooltip="Постановление Правительства РФ от 02.04.2020 N 409 (ред. от 07.11.2020) &quot;О мерах по обеспечению устойчивого развития экономики&quot; (вместе с &quot;Правилами предоставления отсрочки (рассрочки) по уплате налогов, авансовых платежей по налогам и страховых взносов&quot;, &quot;Перечнем видов экономической деятельности для целей применения подпункта &quot;г&quot; пункта 1 постановления Правительства Российской Федерации от 2 апреля 2020 г. N 409&quot;) {КонсультантПлюс}">
        <w:r>
          <w:rPr>
            <w:sz w:val="20"/>
            <w:color w:val="0000ff"/>
          </w:rPr>
          <w:t xml:space="preserve">постановлению</w:t>
        </w:r>
      </w:hyperlink>
      <w:r>
        <w:rPr>
          <w:sz w:val="20"/>
        </w:rPr>
        <w:t xml:space="preserve"> Правительства Российской Федерации от 2 апреля 2020 г. N 409 "О мерах по обеспечению устойчивого развития экономики" для субъектов малого и среднего предпринимательства, ведущих деятельность в отраслях российской экономики, в наибольшей степени пострадавших по перечню, утвержденному Правительством Российской Федерации, не будут применяться налоговые санкции за налоговые правонарушения, совершенные в период с 1 марта до 31 мая 2020 года включительно.</w:t>
      </w:r>
    </w:p>
    <w:p>
      <w:pPr>
        <w:pStyle w:val="0"/>
        <w:spacing w:before="200" w:line-rule="auto"/>
        <w:ind w:firstLine="540"/>
        <w:jc w:val="both"/>
      </w:pPr>
      <w:hyperlink w:history="0" r:id="rId20" w:tooltip="Указ Президента РФ от 02.04.2020 N 239 &quot;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COVID-19)&quot; {КонсультантПлюс}">
        <w:r>
          <w:rPr>
            <w:sz w:val="20"/>
            <w:color w:val="0000ff"/>
          </w:rPr>
          <w:t xml:space="preserve">Указом</w:t>
        </w:r>
      </w:hyperlink>
      <w:r>
        <w:rPr>
          <w:sz w:val="20"/>
        </w:rPr>
        <w:t xml:space="preserve"> Президента Российской Федерации от 2 апреля 2020 года N 239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(COVID-19)" приостановлены меры взыскания налоговыми органами задолженности и соответствующих обеспечительных мер, установленных Налоговым </w:t>
      </w:r>
      <w:hyperlink w:history="0" r:id="rId21" w:tooltip="&quot;Налоговый кодекс Российской Федерации (часть первая)&quot; от 31.07.1998 N 146-ФЗ (ред. от 28.05.2022) (с изм. и доп., вступ. в силу с 01.07.2022) ------------ Недействующая редакция {КонсультантПлюс}">
        <w:r>
          <w:rPr>
            <w:sz w:val="20"/>
            <w:color w:val="0000ff"/>
          </w:rPr>
          <w:t xml:space="preserve">кодексом</w:t>
        </w:r>
      </w:hyperlink>
      <w:r>
        <w:rPr>
          <w:sz w:val="20"/>
        </w:rPr>
        <w:t xml:space="preserve"> Российской Федерации, до 30 апреля 2020 года (включительно) в отношении всех налогоплательщиков - юридических лиц и индивидуальных предпринимателей.</w:t>
      </w:r>
    </w:p>
    <w:p>
      <w:pPr>
        <w:pStyle w:val="0"/>
        <w:spacing w:before="200" w:line-rule="auto"/>
        <w:ind w:firstLine="540"/>
        <w:jc w:val="both"/>
      </w:pPr>
      <w:hyperlink w:history="0" r:id="rId22" w:tooltip="Постановление Правительства РФ от 03.04.2020 N 428 (ред. от 22.05.2020) &quot;О введении моратория на возбуждение дел о банкротстве по заявлению кредиторов в отношении отдельных должников&quot; ------------ Утратил силу или отменен {КонсультантПлюс}">
        <w:r>
          <w:rPr>
            <w:sz w:val="20"/>
            <w:color w:val="0000ff"/>
          </w:rPr>
          <w:t xml:space="preserve">Постановлением</w:t>
        </w:r>
      </w:hyperlink>
      <w:r>
        <w:rPr>
          <w:sz w:val="20"/>
        </w:rPr>
        <w:t xml:space="preserve"> Правительства Российской Федерации от 3 апреля 2020 г. N 428 "О введении моратория на возбуждение дел о банкротстве по заявлению кредиторов в отношении отдельных должников" введен на 6 месяцев мораторий на возбуждение дел индивидуальных предпринимателей, осуществляющих деятельность в сферах, наиболее пострадавших в условиях ухудшения ситуации в связи с распространением новой коронавирусной инфекции.</w:t>
      </w:r>
    </w:p>
    <w:p>
      <w:pPr>
        <w:pStyle w:val="0"/>
        <w:spacing w:before="200" w:line-rule="auto"/>
        <w:ind w:firstLine="540"/>
        <w:jc w:val="both"/>
      </w:pPr>
      <w:r>
        <w:rPr>
          <w:sz w:val="20"/>
        </w:rPr>
        <w:t xml:space="preserve">В целях поддержки малого и среднего предпринимательства в сложных экономических условиях принят </w:t>
      </w:r>
      <w:hyperlink w:history="0" r:id="rId23" w:tooltip="Закон Владимирской области от 09.06.2020 N 48-ОЗ &quot;О приостановлении действия отдельных положений законодательных актов Владимирской области и установлении в 2020 году особенностей применения на территории Владимирской области патентной системы налогообложения, упрощенной системы налогообложения, уплаты транспортного налога и налога на имущество организаций в целях предоставления поддержки отраслям экономики во Владимирской области, наиболее пострадавшим от распространения новой коронавирусной инфекции&quot; (при {КонсультантПлюс}">
        <w:r>
          <w:rPr>
            <w:sz w:val="20"/>
            <w:color w:val="0000ff"/>
          </w:rPr>
          <w:t xml:space="preserve">Закон</w:t>
        </w:r>
      </w:hyperlink>
      <w:r>
        <w:rPr>
          <w:sz w:val="20"/>
        </w:rPr>
        <w:t xml:space="preserve"> области от 9 июня 2020 г. N 48-ОЗ "О приостановлении действия отдельных положений законодательных актов Владимирской области и установлении в 2020 году особенностей применения на территории Владимирской области патентной системы налогообложения, упрощенной системы налогообложения, уплаты транспортного налога и налога на имущество организаций в целях предоставления поддержки отраслям экономики во Владимирской области, наиболее пострадавшим от распространения новой коронавирусной инфекции", предусматривающий:</w:t>
      </w:r>
    </w:p>
    <w:p>
      <w:pPr>
        <w:pStyle w:val="0"/>
        <w:spacing w:before="200" w:line-rule="auto"/>
        <w:ind w:firstLine="540"/>
        <w:jc w:val="both"/>
      </w:pPr>
      <w:r>
        <w:rPr>
          <w:sz w:val="20"/>
        </w:rPr>
        <w:t xml:space="preserve">- налоговые льготы по налогу на имущество организаций для организаций и индивидуальных предпринимателей, которые снижают размер арендных платежей или предоставляют отсрочку по платежам наиболее пострадавшим предпринимателям;</w:t>
      </w:r>
    </w:p>
    <w:p>
      <w:pPr>
        <w:pStyle w:val="0"/>
        <w:spacing w:before="200" w:line-rule="auto"/>
        <w:ind w:firstLine="540"/>
        <w:jc w:val="both"/>
      </w:pPr>
      <w:r>
        <w:rPr>
          <w:sz w:val="20"/>
        </w:rPr>
        <w:t xml:space="preserve">- снижение ставок налога, взимаемого по упрощенной системе налогообложения, до 2% для предпринимателей, у которых налогооблагаемой базой являются доходы, до 5% - для предпринимателей, у которых налогооблагаемой базой являются доходы, уменьшенные на величину расходов;</w:t>
      </w:r>
    </w:p>
    <w:p>
      <w:pPr>
        <w:pStyle w:val="0"/>
        <w:spacing w:before="200" w:line-rule="auto"/>
        <w:ind w:firstLine="540"/>
        <w:jc w:val="both"/>
      </w:pPr>
      <w:r>
        <w:rPr>
          <w:sz w:val="20"/>
        </w:rPr>
        <w:t xml:space="preserve">- снижение на 50% размера годового дохода для исчисления индивидуальными предпринимателями налога по патентной системе налогообложения;</w:t>
      </w:r>
    </w:p>
    <w:p>
      <w:pPr>
        <w:pStyle w:val="0"/>
        <w:spacing w:before="200" w:line-rule="auto"/>
        <w:ind w:firstLine="540"/>
        <w:jc w:val="both"/>
      </w:pPr>
      <w:r>
        <w:rPr>
          <w:sz w:val="20"/>
        </w:rPr>
        <w:t xml:space="preserve">- снижение на 50% суммы транспортного налога организациям и индивидуальным предпринимателям, осуществляющим деятельность по перевозкам.</w:t>
      </w:r>
    </w:p>
    <w:p>
      <w:pPr>
        <w:pStyle w:val="0"/>
        <w:spacing w:before="200" w:line-rule="auto"/>
        <w:ind w:firstLine="540"/>
        <w:jc w:val="both"/>
      </w:pPr>
      <w:r>
        <w:rPr>
          <w:sz w:val="20"/>
        </w:rPr>
        <w:t xml:space="preserve">Сумма выпадающих доходов консолидированного бюджета области составит в 2020 году 556 млн. рублей, в том числе областного бюджета - 484 млн. рублей.</w:t>
      </w:r>
    </w:p>
    <w:p>
      <w:pPr>
        <w:pStyle w:val="0"/>
        <w:jc w:val="both"/>
      </w:pPr>
      <w:r>
        <w:rPr>
          <w:sz w:val="20"/>
        </w:rPr>
      </w:r>
    </w:p>
    <w:p>
      <w:pPr>
        <w:pStyle w:val="2"/>
        <w:outlineLvl w:val="1"/>
        <w:jc w:val="center"/>
      </w:pPr>
      <w:r>
        <w:rPr>
          <w:sz w:val="20"/>
        </w:rPr>
        <w:t xml:space="preserve">III. Основные направления налоговой политики на 2021 год</w:t>
      </w:r>
    </w:p>
    <w:p>
      <w:pPr>
        <w:pStyle w:val="2"/>
        <w:jc w:val="center"/>
      </w:pPr>
      <w:r>
        <w:rPr>
          <w:sz w:val="20"/>
        </w:rPr>
        <w:t xml:space="preserve">и на плановый период 2022 и 2023 годов</w:t>
      </w:r>
    </w:p>
    <w:p>
      <w:pPr>
        <w:pStyle w:val="0"/>
        <w:jc w:val="both"/>
      </w:pPr>
      <w:r>
        <w:rPr>
          <w:sz w:val="20"/>
        </w:rPr>
      </w:r>
    </w:p>
    <w:p>
      <w:pPr>
        <w:pStyle w:val="0"/>
        <w:ind w:firstLine="540"/>
        <w:jc w:val="both"/>
      </w:pPr>
      <w:r>
        <w:rPr>
          <w:sz w:val="20"/>
        </w:rPr>
        <w:t xml:space="preserve">В 2021 - 2023 годах будет продолжена реализация основных целей и задач налоговой политики, предусмотренных в предыдущие годы.</w:t>
      </w:r>
    </w:p>
    <w:p>
      <w:pPr>
        <w:pStyle w:val="0"/>
        <w:spacing w:before="200" w:line-rule="auto"/>
        <w:ind w:firstLine="540"/>
        <w:jc w:val="both"/>
      </w:pPr>
      <w:r>
        <w:rPr>
          <w:sz w:val="20"/>
        </w:rPr>
        <w:t xml:space="preserve">Налоговая политика Владимирской области в 2021 году и на плановый период до 2023 года ориентирована на мобилизацию собственных доходов на основе экономического роста и развития доходного потенциала.</w:t>
      </w:r>
    </w:p>
    <w:p>
      <w:pPr>
        <w:pStyle w:val="0"/>
        <w:spacing w:before="200" w:line-rule="auto"/>
        <w:ind w:firstLine="540"/>
        <w:jc w:val="both"/>
      </w:pPr>
      <w:r>
        <w:rPr>
          <w:sz w:val="20"/>
        </w:rPr>
        <w:t xml:space="preserve">Основными направлениями налоговой политики Владимирской области в среднесрочной перспективе являются:</w:t>
      </w:r>
    </w:p>
    <w:p>
      <w:pPr>
        <w:pStyle w:val="0"/>
        <w:spacing w:before="200" w:line-rule="auto"/>
        <w:ind w:firstLine="540"/>
        <w:jc w:val="both"/>
      </w:pPr>
      <w:r>
        <w:rPr>
          <w:sz w:val="20"/>
        </w:rPr>
        <w:t xml:space="preserve">1) совершенствование налогового законодательства области с учетом изменений в налоговом законодательстве Российской Федерации;</w:t>
      </w:r>
    </w:p>
    <w:p>
      <w:pPr>
        <w:pStyle w:val="0"/>
        <w:spacing w:before="200" w:line-rule="auto"/>
        <w:ind w:firstLine="540"/>
        <w:jc w:val="both"/>
      </w:pPr>
      <w:r>
        <w:rPr>
          <w:sz w:val="20"/>
        </w:rPr>
        <w:t xml:space="preserve">2) реализация механизмов налогового стимулирования в рамках приоритетных направлений промышленной и инвестиционной политики области;</w:t>
      </w:r>
    </w:p>
    <w:p>
      <w:pPr>
        <w:pStyle w:val="0"/>
        <w:spacing w:before="200" w:line-rule="auto"/>
        <w:ind w:firstLine="540"/>
        <w:jc w:val="both"/>
      </w:pPr>
      <w:r>
        <w:rPr>
          <w:sz w:val="20"/>
        </w:rPr>
        <w:t xml:space="preserve">3) обеспечение бюджетной, экономической и социальной эффективности налоговых расходов;</w:t>
      </w:r>
    </w:p>
    <w:p>
      <w:pPr>
        <w:pStyle w:val="0"/>
        <w:spacing w:before="200" w:line-rule="auto"/>
        <w:ind w:firstLine="540"/>
        <w:jc w:val="both"/>
      </w:pPr>
      <w:r>
        <w:rPr>
          <w:sz w:val="20"/>
        </w:rPr>
        <w:t xml:space="preserve">4) оказание содействия среднему и малому бизнесу для развития предпринимательской деятельности;</w:t>
      </w:r>
    </w:p>
    <w:p>
      <w:pPr>
        <w:pStyle w:val="0"/>
        <w:spacing w:before="200" w:line-rule="auto"/>
        <w:ind w:firstLine="540"/>
        <w:jc w:val="both"/>
      </w:pPr>
      <w:r>
        <w:rPr>
          <w:sz w:val="20"/>
        </w:rPr>
        <w:t xml:space="preserve">5) усиление мер по укреплению налоговой дисциплины налогоплательщиков;</w:t>
      </w:r>
    </w:p>
    <w:p>
      <w:pPr>
        <w:pStyle w:val="0"/>
        <w:spacing w:before="200" w:line-rule="auto"/>
        <w:ind w:firstLine="540"/>
        <w:jc w:val="both"/>
      </w:pPr>
      <w:r>
        <w:rPr>
          <w:sz w:val="20"/>
        </w:rPr>
        <w:t xml:space="preserve">6) повышение эффективности управления государственным имуществом Владимирской области.</w:t>
      </w:r>
    </w:p>
    <w:p>
      <w:pPr>
        <w:pStyle w:val="0"/>
        <w:spacing w:before="200" w:line-rule="auto"/>
        <w:ind w:firstLine="540"/>
        <w:jc w:val="both"/>
      </w:pPr>
      <w:r>
        <w:rPr>
          <w:sz w:val="20"/>
        </w:rPr>
        <w:t xml:space="preserve">В трехлетней перспективе будет продолжена работа по укреплению доходной базы бюджета области за счет наращивания стабильных доходных источников и мобилизации в бюджет имеющихся резервов.</w:t>
      </w:r>
    </w:p>
    <w:p>
      <w:pPr>
        <w:pStyle w:val="0"/>
        <w:spacing w:before="200" w:line-rule="auto"/>
        <w:ind w:firstLine="540"/>
        <w:jc w:val="both"/>
      </w:pPr>
      <w:r>
        <w:rPr>
          <w:sz w:val="20"/>
        </w:rPr>
        <w:t xml:space="preserve">Рост бюджетных поступлений планируется достичь за счет:</w:t>
      </w:r>
    </w:p>
    <w:p>
      <w:pPr>
        <w:pStyle w:val="0"/>
        <w:spacing w:before="200" w:line-rule="auto"/>
        <w:ind w:firstLine="540"/>
        <w:jc w:val="both"/>
      </w:pPr>
      <w:r>
        <w:rPr>
          <w:sz w:val="20"/>
        </w:rPr>
        <w:t xml:space="preserve">- роста инвестиционной и инновационной активности путем оказания государственной поддержки инвесторам в целях создания благоприятных условий для расширения ими производства, создания новых рабочих мест с высоким уровнем заработной платы;</w:t>
      </w:r>
    </w:p>
    <w:p>
      <w:pPr>
        <w:pStyle w:val="0"/>
        <w:spacing w:before="200" w:line-rule="auto"/>
        <w:ind w:firstLine="540"/>
        <w:jc w:val="both"/>
      </w:pPr>
      <w:r>
        <w:rPr>
          <w:sz w:val="20"/>
        </w:rPr>
        <w:t xml:space="preserve">- совершенствования применения специальных налоговых режимов для развития малого и среднего предпринимательства;</w:t>
      </w:r>
    </w:p>
    <w:p>
      <w:pPr>
        <w:pStyle w:val="0"/>
        <w:spacing w:before="200" w:line-rule="auto"/>
        <w:ind w:firstLine="540"/>
        <w:jc w:val="both"/>
      </w:pPr>
      <w:r>
        <w:rPr>
          <w:sz w:val="20"/>
        </w:rPr>
        <w:t xml:space="preserve">- выявления и пресечения схем минимизации налогов, совершенствования методов контроля легализации "теневой" заработной платы;</w:t>
      </w:r>
    </w:p>
    <w:p>
      <w:pPr>
        <w:pStyle w:val="0"/>
        <w:spacing w:before="200" w:line-rule="auto"/>
        <w:ind w:firstLine="540"/>
        <w:jc w:val="both"/>
      </w:pPr>
      <w:r>
        <w:rPr>
          <w:sz w:val="20"/>
        </w:rPr>
        <w:t xml:space="preserve">- расширения налоговой базы по имущественным налогам путем выявления и включения в налогооблагаемую базу недвижимого имущества и земельных участков, которые до настоящего времени не зарегистрированы;</w:t>
      </w:r>
    </w:p>
    <w:p>
      <w:pPr>
        <w:pStyle w:val="0"/>
        <w:spacing w:before="200" w:line-rule="auto"/>
        <w:ind w:firstLine="540"/>
        <w:jc w:val="both"/>
      </w:pPr>
      <w:r>
        <w:rPr>
          <w:sz w:val="20"/>
        </w:rPr>
        <w:t xml:space="preserve">- совершенствования методов налогового администрирования, повышения уровня ответственности главных администраторов доходов за выполнение плановых показателей поступления доходов в консолидированный бюджет области;</w:t>
      </w:r>
    </w:p>
    <w:p>
      <w:pPr>
        <w:pStyle w:val="0"/>
        <w:spacing w:before="200" w:line-rule="auto"/>
        <w:ind w:firstLine="540"/>
        <w:jc w:val="both"/>
      </w:pPr>
      <w:r>
        <w:rPr>
          <w:sz w:val="20"/>
        </w:rPr>
        <w:t xml:space="preserve">- проведения оценки социальной и бюджетной эффективности установленных на региональном и местном уровне налоговых расходов;</w:t>
      </w:r>
    </w:p>
    <w:p>
      <w:pPr>
        <w:pStyle w:val="0"/>
        <w:spacing w:before="200" w:line-rule="auto"/>
        <w:ind w:firstLine="540"/>
        <w:jc w:val="both"/>
      </w:pPr>
      <w:r>
        <w:rPr>
          <w:sz w:val="20"/>
        </w:rPr>
        <w:t xml:space="preserve">- совершенствования управления областной и муниципальной собственностью.</w:t>
      </w:r>
    </w:p>
    <w:p>
      <w:pPr>
        <w:pStyle w:val="0"/>
        <w:spacing w:before="200" w:line-rule="auto"/>
        <w:ind w:firstLine="540"/>
        <w:jc w:val="both"/>
      </w:pPr>
      <w:r>
        <w:rPr>
          <w:sz w:val="20"/>
        </w:rPr>
        <w:t xml:space="preserve">Координация работы органов государственной власти и органов местного самоуправления по мобилизации доходов в бюджет области будет осуществляться в рамках деятельности межведомственных рабочих групп по платежам в областной и местные бюджеты и легализации объектов налогообложения.</w:t>
      </w:r>
    </w:p>
    <w:p>
      <w:pPr>
        <w:pStyle w:val="0"/>
        <w:spacing w:before="200" w:line-rule="auto"/>
        <w:ind w:firstLine="540"/>
        <w:jc w:val="both"/>
      </w:pPr>
      <w:r>
        <w:rPr>
          <w:sz w:val="20"/>
        </w:rPr>
        <w:t xml:space="preserve">При формировании основных направлений налоговой политики области учтены изменения в налоговое и бюджетное законодательство, вносимые и планируемые к принятию на региональном уровне.</w:t>
      </w:r>
    </w:p>
    <w:p>
      <w:pPr>
        <w:pStyle w:val="0"/>
        <w:spacing w:before="200" w:line-rule="auto"/>
        <w:ind w:firstLine="540"/>
        <w:jc w:val="both"/>
      </w:pPr>
      <w:r>
        <w:rPr>
          <w:sz w:val="20"/>
        </w:rPr>
        <w:t xml:space="preserve">В целях усиления доходной части бюджетов муниципальных образований </w:t>
      </w:r>
      <w:hyperlink w:history="0" r:id="rId24" w:tooltip="Закон Владимирской области от 10.10.2005 N 139-ОЗ (ред. от 09.11.2021) &quot;О межбюджетных отношениях во Владимирской области&quot; (принят постановлением ЗС Владимирской области от 28.09.2005 N 652) ------------ Недействующая редакция {КонсультантПлюс}">
        <w:r>
          <w:rPr>
            <w:sz w:val="20"/>
            <w:color w:val="0000ff"/>
          </w:rPr>
          <w:t xml:space="preserve">Законом</w:t>
        </w:r>
      </w:hyperlink>
      <w:r>
        <w:rPr>
          <w:sz w:val="20"/>
        </w:rPr>
        <w:t xml:space="preserve"> области от 10 октября 2005 г. N 139-ОЗ "О межбюджетных отношениях во Владимирской области" переданы из областного бюджета в местные бюджеты дополнительные отчисления от налоговых и неналоговых доходов в 2021 году в сумме 1141206 тыс. рублей (в том числе: транспортный налог с физических лиц - 689076 тыс. рублей, налог, взимаемый в связи с применением упрощенной системы налогообложения, - 400693 тыс. рублей, платежи за негативное воздействие на окружающую среду - 51437 тыс. рублей), в 2022 году - 1175841 тыс. рублей (в том числе: транспортный налог с физических лиц - 701579 тыс. рублей, налог, взимаемый в связи с применением упрощенной системы налогообложения, - 420767 тыс. рублей, плата за негативное воздействие на окружающую среду - 53495 тыс. рублей), в 2023 году - 1230545 тыс. рублей (в том числе: транспортный налог с физических лиц - 714207 тыс. рублей, налог, взимаемый в связи с применением упрощенной системы налогообложения, - 462844 тыс. рублей, плата за негативное воздействие на окружающую среду - 53494 тыс. рублей).</w:t>
      </w:r>
    </w:p>
    <w:p>
      <w:pPr>
        <w:pStyle w:val="0"/>
        <w:spacing w:before="200" w:line-rule="auto"/>
        <w:ind w:firstLine="540"/>
        <w:jc w:val="both"/>
      </w:pPr>
      <w:r>
        <w:rPr>
          <w:sz w:val="20"/>
        </w:rPr>
        <w:t xml:space="preserve">На областном уровне сохраняются налоговые льготы:</w:t>
      </w:r>
    </w:p>
    <w:p>
      <w:pPr>
        <w:pStyle w:val="0"/>
        <w:spacing w:before="200" w:line-rule="auto"/>
        <w:ind w:firstLine="540"/>
        <w:jc w:val="both"/>
      </w:pPr>
      <w:r>
        <w:rPr>
          <w:sz w:val="20"/>
        </w:rPr>
        <w:t xml:space="preserve">- для инвесторов - по налогу на прибыль организаций и по налогу на имущество организаций в виде установления дифференцированных налоговых ставок в зависимости от категории инвестиционного проекта и объема инвестиций (</w:t>
      </w:r>
      <w:hyperlink w:history="0" r:id="rId25" w:tooltip="Закон Владимирской области от 12.11.2015 N 157-ОЗ (ред. от 08.07.2019) &quot;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quot; (принят постановлением ЗС Владимирской области от 28.10.2015 N 286) ------------ Недействующая редакция {КонсультантПлюс}">
        <w:r>
          <w:rPr>
            <w:sz w:val="20"/>
            <w:color w:val="0000ff"/>
          </w:rPr>
          <w:t xml:space="preserve">Закон</w:t>
        </w:r>
      </w:hyperlink>
      <w:r>
        <w:rPr>
          <w:sz w:val="20"/>
        </w:rPr>
        <w:t xml:space="preserve"> области от 12 ноября 2015 г. N 157-ОЗ "Об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 и </w:t>
      </w:r>
      <w:hyperlink w:history="0" r:id="rId26" w:tooltip="Закон Владимирской области от 12.11.2003 N 110-ОЗ (ред. от 11.07.2022) &quot;О налоге на имущество организаций&quot; (принят постановлением ЗС Владимирской области от 29.10.2003 N 568) ------------ Недействующая редакция {КонсультантПлюс}">
        <w:r>
          <w:rPr>
            <w:sz w:val="20"/>
            <w:color w:val="0000ff"/>
          </w:rPr>
          <w:t xml:space="preserve">Закон</w:t>
        </w:r>
      </w:hyperlink>
      <w:r>
        <w:rPr>
          <w:sz w:val="20"/>
        </w:rPr>
        <w:t xml:space="preserve"> области от 12 ноября 2003 года N 110-ОЗ "О налоге на имущество организаций");</w:t>
      </w:r>
    </w:p>
    <w:p>
      <w:pPr>
        <w:pStyle w:val="0"/>
        <w:spacing w:before="200" w:line-rule="auto"/>
        <w:ind w:firstLine="540"/>
        <w:jc w:val="both"/>
      </w:pPr>
      <w:r>
        <w:rPr>
          <w:sz w:val="20"/>
        </w:rPr>
        <w:t xml:space="preserve">- для участников региональных инвестиционных проектов - по налогу на прибыль организаций в виде установления пониженной ставки налога на прибыль в размере 10% (</w:t>
      </w:r>
      <w:hyperlink w:history="0" r:id="rId27" w:tooltip="Закон Владимирской области от 10.05.2017 N 39-ОЗ (ред. от 28.11.2019) &quot;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quot; (принят постановлением ЗС Владимирской области от 27.04.2017 N 106) {КонсультантПлюс}">
        <w:r>
          <w:rPr>
            <w:sz w:val="20"/>
            <w:color w:val="0000ff"/>
          </w:rPr>
          <w:t xml:space="preserve">Закон</w:t>
        </w:r>
      </w:hyperlink>
      <w:r>
        <w:rPr>
          <w:sz w:val="20"/>
        </w:rPr>
        <w:t xml:space="preserve"> области от 10 мая 2017 г. N 39-ОЗ "Об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w:t>
      </w:r>
    </w:p>
    <w:p>
      <w:pPr>
        <w:pStyle w:val="0"/>
        <w:spacing w:before="200" w:line-rule="auto"/>
        <w:ind w:firstLine="540"/>
        <w:jc w:val="both"/>
      </w:pPr>
      <w:r>
        <w:rPr>
          <w:sz w:val="20"/>
        </w:rPr>
        <w:t xml:space="preserve">- для участников специальных инвестиционных контрактов - по налогу на прибыль организаций в виде установления пониженной налоговой ставки в размере 5% (</w:t>
      </w:r>
      <w:hyperlink w:history="0" r:id="rId28" w:tooltip="Закон Владимирской области от 10.05.2017 N 39-ОЗ (ред. от 28.11.2019) &quot;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quot; (принят постановлением ЗС Владимирской области от 27.04.2017 N 106) {КонсультантПлюс}">
        <w:r>
          <w:rPr>
            <w:sz w:val="20"/>
            <w:color w:val="0000ff"/>
          </w:rPr>
          <w:t xml:space="preserve">Закон</w:t>
        </w:r>
      </w:hyperlink>
      <w:r>
        <w:rPr>
          <w:sz w:val="20"/>
        </w:rPr>
        <w:t xml:space="preserve"> области от 10 мая 2017 г. N 39-ОЗ "Об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w:t>
      </w:r>
    </w:p>
    <w:p>
      <w:pPr>
        <w:pStyle w:val="0"/>
        <w:spacing w:before="200" w:line-rule="auto"/>
        <w:ind w:firstLine="540"/>
        <w:jc w:val="both"/>
      </w:pPr>
      <w:r>
        <w:rPr>
          <w:sz w:val="20"/>
        </w:rPr>
        <w:t xml:space="preserve">- для резидентов территории опережающего социально-экономического развития (ТОСЭР) - по налогу на прибыль организаций в виде 0% в течение пяти налоговых периодов, 10% - в течение следующих пяти налоговых периодов и по налогу на имущество организаций - полного освобождения в течение 10 лет (</w:t>
      </w:r>
      <w:hyperlink w:history="0" r:id="rId29" w:tooltip="Закон Владимирской области от 12.11.2003 N 110-ОЗ (ред. от 11.07.2022) &quot;О налоге на имущество организаций&quot; (принят постановлением ЗС Владимирской области от 29.10.2003 N 568) ------------ Недействующая редакция {КонсультантПлюс}">
        <w:r>
          <w:rPr>
            <w:sz w:val="20"/>
            <w:color w:val="0000ff"/>
          </w:rPr>
          <w:t xml:space="preserve">Закон</w:t>
        </w:r>
      </w:hyperlink>
      <w:r>
        <w:rPr>
          <w:sz w:val="20"/>
        </w:rPr>
        <w:t xml:space="preserve"> области от 12 ноября 2003 года N 110-ОЗ "О налоге на имущество организаций" и </w:t>
      </w:r>
      <w:hyperlink w:history="0" r:id="rId30" w:tooltip="Закон Владимирской области от 04.05.2018 N 48-ОЗ (ред. от 08.07.2019) &quot;Об установлении пониженной налоговой ставки налога на прибыль организаций для резидентов территорий опережающего социально-экономического развития, созданных на территориях монопрофильных муниципальных образований (моногородов) Владимирской области&quot; (принят постановлением ЗС Владимирской области от 25.04.2018 N 105) ------------ Недействующая редакция {КонсультантПлюс}">
        <w:r>
          <w:rPr>
            <w:sz w:val="20"/>
            <w:color w:val="0000ff"/>
          </w:rPr>
          <w:t xml:space="preserve">Закон</w:t>
        </w:r>
      </w:hyperlink>
      <w:r>
        <w:rPr>
          <w:sz w:val="20"/>
        </w:rPr>
        <w:t xml:space="preserve"> области от 4 мая 2018 г. N 48-ОЗ "Об установлении пониженной налоговой ставки налога на прибыль организаций для резидентов территорий опережающего социально-экономического развития, созданных на территориях монопрофильных муниципальных образований (моногородов) Владимирской области");</w:t>
      </w:r>
    </w:p>
    <w:p>
      <w:pPr>
        <w:pStyle w:val="0"/>
        <w:spacing w:before="200" w:line-rule="auto"/>
        <w:ind w:firstLine="540"/>
        <w:jc w:val="both"/>
      </w:pPr>
      <w:r>
        <w:rPr>
          <w:sz w:val="20"/>
        </w:rPr>
        <w:t xml:space="preserve">- для резидентов особых экономических зон промышленно-производственного типа - по налогу на прибыль организаций в виде 0% - в течение семи налоговых периодов, 5% - в период с восьмого по двенадцатый налоговый период включительно, 13,5% - по истечении двенадцати налоговых периодов, а также по транспортному налогу - полного освобождения от уплаты транспортного налога в отношении грузовых автомобилей, автобусов и других самоходных машин и механизмов на пневматическом и гусеничном ходу в течение в течение десяти налоговых периодов (</w:t>
      </w:r>
      <w:hyperlink w:history="0" r:id="rId31" w:tooltip="Закон Владимирской области от 28.11.2019 N 102-ОЗ &quot;Об установлении для организаций - резидентов особых экономических зон, созданных на территории Владимирской области, пониженной налоговой ставки налога на прибыль организаций&quot; (принят постановлением ЗС Владимирской области от 26.11.2019 N 360) {КонсультантПлюс}">
        <w:r>
          <w:rPr>
            <w:sz w:val="20"/>
            <w:color w:val="0000ff"/>
          </w:rPr>
          <w:t xml:space="preserve">Закон</w:t>
        </w:r>
      </w:hyperlink>
      <w:r>
        <w:rPr>
          <w:sz w:val="20"/>
        </w:rPr>
        <w:t xml:space="preserve"> области от 28 ноября 2019 г. N 102-ОЗ "Об установлении для организаций - резидентов особых экономических зон, созданных на территории Владимирской области, пониженной налоговой ставки налога на прибыль организаций" и </w:t>
      </w:r>
      <w:hyperlink w:history="0" r:id="rId32" w:tooltip="Закон Владимирской области от 27.11.2002 N 119-ОЗ (ред. от 29.09.2021) &quot;О транспортном налоге&quot; (принят постановлением ЗС Владимирской области от 27.11.2002 N 513) {КонсультантПлюс}">
        <w:r>
          <w:rPr>
            <w:sz w:val="20"/>
            <w:color w:val="0000ff"/>
          </w:rPr>
          <w:t xml:space="preserve">Закон</w:t>
        </w:r>
      </w:hyperlink>
      <w:r>
        <w:rPr>
          <w:sz w:val="20"/>
        </w:rPr>
        <w:t xml:space="preserve"> области от 27 ноября 2002 г. N 119-ОЗ "О транспортном налоге").</w:t>
      </w:r>
    </w:p>
    <w:p>
      <w:pPr>
        <w:pStyle w:val="0"/>
        <w:spacing w:before="200" w:line-rule="auto"/>
        <w:ind w:firstLine="540"/>
        <w:jc w:val="both"/>
      </w:pPr>
      <w:r>
        <w:rPr>
          <w:sz w:val="20"/>
        </w:rPr>
        <w:t xml:space="preserve">В целях социальной поддержки граждан предоставлены льготы по транспортному налогу с физических лиц (</w:t>
      </w:r>
      <w:hyperlink w:history="0" r:id="rId33" w:tooltip="Закон Владимирской области от 27.11.2002 N 119-ОЗ (ред. от 29.09.2021) &quot;О транспортном налоге&quot; (принят постановлением ЗС Владимирской области от 27.11.2002 N 513) {КонсультантПлюс}">
        <w:r>
          <w:rPr>
            <w:sz w:val="20"/>
            <w:color w:val="0000ff"/>
          </w:rPr>
          <w:t xml:space="preserve">Закон</w:t>
        </w:r>
      </w:hyperlink>
      <w:r>
        <w:rPr>
          <w:sz w:val="20"/>
        </w:rPr>
        <w:t xml:space="preserve"> области от 27 ноября 2002 г. N 119-ОЗ "О транспортном налоге"):</w:t>
      </w:r>
    </w:p>
    <w:p>
      <w:pPr>
        <w:pStyle w:val="0"/>
        <w:spacing w:before="200" w:line-rule="auto"/>
        <w:ind w:firstLine="540"/>
        <w:jc w:val="both"/>
      </w:pPr>
      <w:r>
        <w:rPr>
          <w:sz w:val="20"/>
        </w:rPr>
        <w:t xml:space="preserve">- родителям (усыновителям, опекунам, попечителям), имеющим детей-инвалидов;</w:t>
      </w:r>
    </w:p>
    <w:p>
      <w:pPr>
        <w:pStyle w:val="0"/>
        <w:spacing w:before="200" w:line-rule="auto"/>
        <w:ind w:firstLine="540"/>
        <w:jc w:val="both"/>
      </w:pPr>
      <w:r>
        <w:rPr>
          <w:sz w:val="20"/>
        </w:rPr>
        <w:t xml:space="preserve">- мужчинам, достигшим возраста 60 лет, и женщинам, достигшим возраста 55 лет;</w:t>
      </w:r>
    </w:p>
    <w:p>
      <w:pPr>
        <w:pStyle w:val="0"/>
        <w:spacing w:before="200" w:line-rule="auto"/>
        <w:ind w:firstLine="540"/>
        <w:jc w:val="both"/>
      </w:pPr>
      <w:r>
        <w:rPr>
          <w:sz w:val="20"/>
        </w:rPr>
        <w:t xml:space="preserve">- военнослужащим войск национальной гвардии;</w:t>
      </w:r>
    </w:p>
    <w:p>
      <w:pPr>
        <w:pStyle w:val="0"/>
        <w:spacing w:before="200" w:line-rule="auto"/>
        <w:ind w:firstLine="540"/>
        <w:jc w:val="both"/>
      </w:pPr>
      <w:r>
        <w:rPr>
          <w:sz w:val="20"/>
        </w:rPr>
        <w:t xml:space="preserve">- ветеранам боевых действий.</w:t>
      </w:r>
    </w:p>
    <w:p>
      <w:pPr>
        <w:pStyle w:val="0"/>
        <w:spacing w:before="200" w:line-rule="auto"/>
        <w:ind w:firstLine="540"/>
        <w:jc w:val="both"/>
      </w:pPr>
      <w:r>
        <w:rPr>
          <w:sz w:val="20"/>
        </w:rPr>
        <w:t xml:space="preserve">В соответствии со </w:t>
      </w:r>
      <w:hyperlink w:history="0" r:id="rId34" w:tooltip="&quot;Бюджетный кодекс Российской Федерации&quot; от 31.07.1998 N 145-ФЗ (ред. от 14.07.2022) ------------ Недействующая редакция {КонсультантПлюс}">
        <w:r>
          <w:rPr>
            <w:sz w:val="20"/>
            <w:color w:val="0000ff"/>
          </w:rPr>
          <w:t xml:space="preserve">статьей 174.3</w:t>
        </w:r>
      </w:hyperlink>
      <w:r>
        <w:rPr>
          <w:sz w:val="20"/>
        </w:rPr>
        <w:t xml:space="preserve"> Бюджетного кодекса Российской Федерации формируется перечень налоговых расходов Владимирской области в порядке, установленном </w:t>
      </w:r>
      <w:hyperlink w:history="0" r:id="rId35" w:tooltip="Постановление Правительства РФ от 12.04.2019 N 439 (ред. от 08.02.2022) &quot;Об утверждении Правил формирования перечня налоговых расходов Российской Федерации и оценки налоговых расходов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12 апреля 2019 г. N 439 "Об утверждении Правил формирования перечня налоговых расходов Российской Федерации и оценки налоговых расходов Российской Федерации" и </w:t>
      </w:r>
      <w:hyperlink w:history="0" r:id="rId36" w:tooltip="Постановление администрации Владимирской обл. от 06.09.2019 N 629 &quot;Об утверждении Порядка формирования перечня налоговых расходов Владимирской области и оценки налоговых расходов Владимирской области&quot; {КонсультантПлюс}">
        <w:r>
          <w:rPr>
            <w:sz w:val="20"/>
            <w:color w:val="0000ff"/>
          </w:rPr>
          <w:t xml:space="preserve">постановлением</w:t>
        </w:r>
      </w:hyperlink>
      <w:r>
        <w:rPr>
          <w:sz w:val="20"/>
        </w:rPr>
        <w:t xml:space="preserve"> администрации области от 6 сентября 2019 г. N 629 "Об утверждении Порядка формирования перечня налоговых расходов Владимирской области и оценки налоговых расходов Владимирской области".</w:t>
      </w:r>
    </w:p>
    <w:p>
      <w:pPr>
        <w:pStyle w:val="0"/>
        <w:spacing w:before="200" w:line-rule="auto"/>
        <w:ind w:firstLine="540"/>
        <w:jc w:val="both"/>
      </w:pPr>
      <w:r>
        <w:rPr>
          <w:sz w:val="20"/>
        </w:rPr>
        <w:t xml:space="preserve">Оценка налоговых расходов Владимирской области осуществляется ежегодно в </w:t>
      </w:r>
      <w:hyperlink w:history="0" r:id="rId37" w:tooltip="Постановление администрации Владимирской обл. от 06.09.2019 N 629 &quot;Об утверждении Порядка формирования перечня налоговых расходов Владимирской области и оценки налоговых расходов Владимирской области&quot; {КонсультантПлюс}">
        <w:r>
          <w:rPr>
            <w:sz w:val="20"/>
            <w:color w:val="0000ff"/>
          </w:rPr>
          <w:t xml:space="preserve">порядке</w:t>
        </w:r>
      </w:hyperlink>
      <w:r>
        <w:rPr>
          <w:sz w:val="20"/>
        </w:rPr>
        <w:t xml:space="preserve">, утвержденном постановлением администрации области от 6 сентября 2019 г. N 629 "Об утверждении Порядка формирования перечня налоговых расходов Владимирской области и оценки налоговых расходов Владимирской области" с соблюдением общих </w:t>
      </w:r>
      <w:hyperlink w:history="0" r:id="rId38" w:tooltip="Постановление Правительства РФ от 22.06.2019 N 796 (ред. от 15.06.2022) &quot;Об общих требованиях к оценке налоговых расходов субъектов Российской Федерации и муниципальных образований&quot; ------------ Недействующая редакция {КонсультантПлюс}">
        <w:r>
          <w:rPr>
            <w:sz w:val="20"/>
            <w:color w:val="0000ff"/>
          </w:rPr>
          <w:t xml:space="preserve">требований</w:t>
        </w:r>
      </w:hyperlink>
      <w:r>
        <w:rPr>
          <w:sz w:val="20"/>
        </w:rPr>
        <w:t xml:space="preserve">, установленных постановлением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w:t>
      </w:r>
    </w:p>
    <w:p>
      <w:pPr>
        <w:pStyle w:val="0"/>
        <w:spacing w:before="200" w:line-rule="auto"/>
        <w:ind w:firstLine="540"/>
        <w:jc w:val="both"/>
      </w:pPr>
      <w:r>
        <w:rPr>
          <w:sz w:val="20"/>
        </w:rPr>
        <w:t xml:space="preserve">Результаты указанной оценки учитываются при формировании основных направлений налоговой политики, а также при проведении оценки эффективности реализации государственных программ Владимирской области. Оценка осуществляется кураторами соответствующих налоговых расходов, определенных распоряжением администрации области от 14 февраля 2020 г. N 101-р "О назначении кураторов налоговых расходов" (таблица 3).</w:t>
      </w:r>
    </w:p>
    <w:p>
      <w:pPr>
        <w:pStyle w:val="0"/>
        <w:jc w:val="both"/>
      </w:pPr>
      <w:r>
        <w:rPr>
          <w:sz w:val="20"/>
        </w:rPr>
      </w:r>
    </w:p>
    <w:p>
      <w:pPr>
        <w:pStyle w:val="0"/>
        <w:outlineLvl w:val="2"/>
        <w:jc w:val="right"/>
      </w:pPr>
      <w:r>
        <w:rPr>
          <w:sz w:val="20"/>
        </w:rPr>
        <w:t xml:space="preserve">Таблица 3</w:t>
      </w:r>
    </w:p>
    <w:p>
      <w:pPr>
        <w:pStyle w:val="0"/>
        <w:jc w:val="both"/>
      </w:pPr>
      <w:r>
        <w:rPr>
          <w:sz w:val="20"/>
        </w:rPr>
      </w:r>
    </w:p>
    <w:p>
      <w:pPr>
        <w:pStyle w:val="2"/>
        <w:jc w:val="center"/>
      </w:pPr>
      <w:r>
        <w:rPr>
          <w:sz w:val="20"/>
        </w:rPr>
        <w:t xml:space="preserve">Органы</w:t>
      </w:r>
    </w:p>
    <w:p>
      <w:pPr>
        <w:pStyle w:val="2"/>
        <w:jc w:val="center"/>
      </w:pPr>
      <w:r>
        <w:rPr>
          <w:sz w:val="20"/>
        </w:rPr>
        <w:t xml:space="preserve">исполнительной власти Владимирской области - кураторы</w:t>
      </w:r>
    </w:p>
    <w:p>
      <w:pPr>
        <w:pStyle w:val="2"/>
        <w:jc w:val="center"/>
      </w:pPr>
      <w:r>
        <w:rPr>
          <w:sz w:val="20"/>
        </w:rPr>
        <w:t xml:space="preserve">налоговых расходов Владимирской области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531"/>
        <w:gridCol w:w="1701"/>
        <w:gridCol w:w="5272"/>
      </w:tblGrid>
      <w:tr>
        <w:tc>
          <w:tcPr>
            <w:tcW w:w="567" w:type="dxa"/>
          </w:tcPr>
          <w:p>
            <w:pPr>
              <w:pStyle w:val="0"/>
              <w:jc w:val="center"/>
            </w:pPr>
            <w:r>
              <w:rPr>
                <w:sz w:val="20"/>
              </w:rPr>
              <w:t xml:space="preserve">N</w:t>
            </w:r>
          </w:p>
          <w:p>
            <w:pPr>
              <w:pStyle w:val="0"/>
              <w:jc w:val="center"/>
            </w:pPr>
            <w:r>
              <w:rPr>
                <w:sz w:val="20"/>
              </w:rPr>
              <w:t xml:space="preserve">п/п</w:t>
            </w:r>
          </w:p>
        </w:tc>
        <w:tc>
          <w:tcPr>
            <w:tcW w:w="1531" w:type="dxa"/>
          </w:tcPr>
          <w:p>
            <w:pPr>
              <w:pStyle w:val="0"/>
              <w:jc w:val="center"/>
            </w:pPr>
            <w:r>
              <w:rPr>
                <w:sz w:val="20"/>
              </w:rPr>
              <w:t xml:space="preserve">Органы исполнительной власти Владимирской области - кураторы налоговых расходов Владимирской области</w:t>
            </w:r>
          </w:p>
        </w:tc>
        <w:tc>
          <w:tcPr>
            <w:tcW w:w="1701" w:type="dxa"/>
          </w:tcPr>
          <w:p>
            <w:pPr>
              <w:pStyle w:val="0"/>
              <w:jc w:val="center"/>
            </w:pPr>
            <w:r>
              <w:rPr>
                <w:sz w:val="20"/>
              </w:rPr>
              <w:t xml:space="preserve">Наименование налогов, по которым предусмотрены налоговые льготы, освобождения и иные преференции, установленные нормативными правовыми актами Владимирской области</w:t>
            </w:r>
          </w:p>
        </w:tc>
        <w:tc>
          <w:tcPr>
            <w:tcW w:w="5272" w:type="dxa"/>
          </w:tcPr>
          <w:p>
            <w:pPr>
              <w:pStyle w:val="0"/>
              <w:jc w:val="center"/>
            </w:pPr>
            <w:r>
              <w:rPr>
                <w:sz w:val="20"/>
              </w:rPr>
              <w:t xml:space="preserve">Категория плательщиков налогов, для которых предусмотрены налоговые льготы, освобождения и иные преференции</w:t>
            </w:r>
          </w:p>
        </w:tc>
      </w:tr>
      <w:tr>
        <w:tc>
          <w:tcPr>
            <w:tcW w:w="567" w:type="dxa"/>
          </w:tcPr>
          <w:p>
            <w:pPr>
              <w:pStyle w:val="0"/>
              <w:jc w:val="center"/>
            </w:pPr>
            <w:r>
              <w:rPr>
                <w:sz w:val="20"/>
              </w:rPr>
              <w:t xml:space="preserve">1</w:t>
            </w:r>
          </w:p>
        </w:tc>
        <w:tc>
          <w:tcPr>
            <w:tcW w:w="1531" w:type="dxa"/>
          </w:tcPr>
          <w:p>
            <w:pPr>
              <w:pStyle w:val="0"/>
              <w:jc w:val="center"/>
            </w:pPr>
            <w:r>
              <w:rPr>
                <w:sz w:val="20"/>
              </w:rPr>
              <w:t xml:space="preserve">2</w:t>
            </w:r>
          </w:p>
        </w:tc>
        <w:tc>
          <w:tcPr>
            <w:tcW w:w="1701" w:type="dxa"/>
          </w:tcPr>
          <w:p>
            <w:pPr>
              <w:pStyle w:val="0"/>
              <w:jc w:val="center"/>
            </w:pPr>
            <w:r>
              <w:rPr>
                <w:sz w:val="20"/>
              </w:rPr>
              <w:t xml:space="preserve">3</w:t>
            </w:r>
          </w:p>
        </w:tc>
        <w:tc>
          <w:tcPr>
            <w:tcW w:w="5272" w:type="dxa"/>
          </w:tcPr>
          <w:p>
            <w:pPr>
              <w:pStyle w:val="0"/>
              <w:jc w:val="center"/>
            </w:pPr>
            <w:r>
              <w:rPr>
                <w:sz w:val="20"/>
              </w:rPr>
              <w:t xml:space="preserve">4</w:t>
            </w:r>
          </w:p>
        </w:tc>
      </w:tr>
      <w:tr>
        <w:tc>
          <w:tcPr>
            <w:tcW w:w="567" w:type="dxa"/>
            <w:vMerge w:val="restart"/>
          </w:tcPr>
          <w:p>
            <w:pPr>
              <w:pStyle w:val="0"/>
              <w:jc w:val="center"/>
            </w:pPr>
            <w:r>
              <w:rPr>
                <w:sz w:val="20"/>
              </w:rPr>
              <w:t xml:space="preserve">1.</w:t>
            </w:r>
          </w:p>
        </w:tc>
        <w:tc>
          <w:tcPr>
            <w:tcW w:w="1531" w:type="dxa"/>
            <w:vMerge w:val="restart"/>
          </w:tcPr>
          <w:p>
            <w:pPr>
              <w:pStyle w:val="0"/>
            </w:pPr>
            <w:r>
              <w:rPr>
                <w:sz w:val="20"/>
              </w:rPr>
              <w:t xml:space="preserve">Департамент экономического развития Владимирской области</w:t>
            </w:r>
          </w:p>
        </w:tc>
        <w:tc>
          <w:tcPr>
            <w:tcW w:w="1701" w:type="dxa"/>
          </w:tcPr>
          <w:p>
            <w:pPr>
              <w:pStyle w:val="0"/>
            </w:pPr>
            <w:r>
              <w:rPr>
                <w:sz w:val="20"/>
              </w:rPr>
              <w:t xml:space="preserve">Налог на прибыль организаций</w:t>
            </w:r>
          </w:p>
        </w:tc>
        <w:tc>
          <w:tcPr>
            <w:tcW w:w="5272" w:type="dxa"/>
          </w:tcPr>
          <w:p>
            <w:pPr>
              <w:pStyle w:val="0"/>
            </w:pPr>
            <w:r>
              <w:rPr>
                <w:sz w:val="20"/>
              </w:rPr>
              <w:t xml:space="preserve">- организации, реализующие инвестиционные проекты;</w:t>
            </w:r>
          </w:p>
          <w:p>
            <w:pPr>
              <w:pStyle w:val="0"/>
            </w:pPr>
            <w:r>
              <w:rPr>
                <w:sz w:val="20"/>
              </w:rPr>
              <w:t xml:space="preserve">- резиденты территорий опережающего социально-экономического развития;</w:t>
            </w:r>
          </w:p>
          <w:p>
            <w:pPr>
              <w:pStyle w:val="0"/>
            </w:pPr>
            <w:r>
              <w:rPr>
                <w:sz w:val="20"/>
              </w:rPr>
              <w:t xml:space="preserve">- участники специальных инвестиционных контрактов;</w:t>
            </w:r>
          </w:p>
          <w:p>
            <w:pPr>
              <w:pStyle w:val="0"/>
            </w:pPr>
            <w:r>
              <w:rPr>
                <w:sz w:val="20"/>
              </w:rPr>
              <w:t xml:space="preserve">- участники региональных инвестиционных проектов</w:t>
            </w:r>
          </w:p>
        </w:tc>
      </w:tr>
      <w:tr>
        <w:tc>
          <w:tcPr>
            <w:vMerge w:val="continue"/>
          </w:tcPr>
          <w:p/>
        </w:tc>
        <w:tc>
          <w:tcPr>
            <w:vMerge w:val="continue"/>
          </w:tcPr>
          <w:p/>
        </w:tc>
        <w:tc>
          <w:tcPr>
            <w:tcW w:w="1701" w:type="dxa"/>
          </w:tcPr>
          <w:p>
            <w:pPr>
              <w:pStyle w:val="0"/>
            </w:pPr>
            <w:r>
              <w:rPr>
                <w:sz w:val="20"/>
              </w:rPr>
              <w:t xml:space="preserve">Налог на имущество организаций</w:t>
            </w:r>
          </w:p>
        </w:tc>
        <w:tc>
          <w:tcPr>
            <w:tcW w:w="5272" w:type="dxa"/>
          </w:tcPr>
          <w:p>
            <w:pPr>
              <w:pStyle w:val="0"/>
            </w:pPr>
            <w:r>
              <w:rPr>
                <w:sz w:val="20"/>
              </w:rPr>
              <w:t xml:space="preserve">- организации, реализующие инвестиционные проекты;</w:t>
            </w:r>
          </w:p>
          <w:p>
            <w:pPr>
              <w:pStyle w:val="0"/>
            </w:pPr>
            <w:r>
              <w:rPr>
                <w:sz w:val="20"/>
              </w:rPr>
              <w:t xml:space="preserve">- резиденты территорий опережающего социально-экономического развития</w:t>
            </w:r>
          </w:p>
        </w:tc>
      </w:tr>
      <w:tr>
        <w:tc>
          <w:tcPr>
            <w:tcW w:w="567" w:type="dxa"/>
          </w:tcPr>
          <w:p>
            <w:pPr>
              <w:pStyle w:val="0"/>
              <w:jc w:val="center"/>
            </w:pPr>
            <w:r>
              <w:rPr>
                <w:sz w:val="20"/>
              </w:rPr>
              <w:t xml:space="preserve">2.</w:t>
            </w:r>
          </w:p>
        </w:tc>
        <w:tc>
          <w:tcPr>
            <w:tcW w:w="1531" w:type="dxa"/>
          </w:tcPr>
          <w:p>
            <w:pPr>
              <w:pStyle w:val="0"/>
            </w:pPr>
            <w:r>
              <w:rPr>
                <w:sz w:val="20"/>
              </w:rPr>
              <w:t xml:space="preserve">Департамент развития предпринимательства Владимирской области</w:t>
            </w:r>
          </w:p>
        </w:tc>
        <w:tc>
          <w:tcPr>
            <w:tcW w:w="1701" w:type="dxa"/>
          </w:tcPr>
          <w:p>
            <w:pPr>
              <w:pStyle w:val="0"/>
            </w:pPr>
            <w:r>
              <w:rPr>
                <w:sz w:val="20"/>
              </w:rPr>
              <w:t xml:space="preserve">Упрощенная система налогообложения</w:t>
            </w:r>
          </w:p>
        </w:tc>
        <w:tc>
          <w:tcPr>
            <w:tcW w:w="5272" w:type="dxa"/>
          </w:tcPr>
          <w:p>
            <w:pPr>
              <w:pStyle w:val="0"/>
            </w:pPr>
            <w:r>
              <w:rPr>
                <w:sz w:val="20"/>
              </w:rPr>
              <w:t xml:space="preserve">- индивидуальные предприниматели, впервые зарегистрированные и осуществляющие предпринимательскую деятельность в производственной, социальной и (или) научной сферах, а также в сфере бытовых услуг населению;</w:t>
            </w:r>
          </w:p>
          <w:p>
            <w:pPr>
              <w:pStyle w:val="0"/>
            </w:pPr>
            <w:r>
              <w:rPr>
                <w:sz w:val="20"/>
              </w:rPr>
              <w:t xml:space="preserve">- организации и индивидуальные предприниматели, которые применяют дифференцированные налоговые ставки по упрощенной системе налогообложения</w:t>
            </w:r>
          </w:p>
        </w:tc>
      </w:tr>
      <w:tr>
        <w:tc>
          <w:tcPr>
            <w:tcW w:w="567" w:type="dxa"/>
            <w:vMerge w:val="restart"/>
          </w:tcPr>
          <w:p>
            <w:pPr>
              <w:pStyle w:val="0"/>
              <w:jc w:val="center"/>
            </w:pPr>
            <w:r>
              <w:rPr>
                <w:sz w:val="20"/>
              </w:rPr>
              <w:t xml:space="preserve">3.</w:t>
            </w:r>
          </w:p>
        </w:tc>
        <w:tc>
          <w:tcPr>
            <w:tcW w:w="1531" w:type="dxa"/>
            <w:vMerge w:val="restart"/>
          </w:tcPr>
          <w:p>
            <w:pPr>
              <w:pStyle w:val="0"/>
            </w:pPr>
            <w:r>
              <w:rPr>
                <w:sz w:val="20"/>
              </w:rPr>
              <w:t xml:space="preserve">Департамент транспорта и дорожного хозяйства Владимирской области</w:t>
            </w:r>
          </w:p>
        </w:tc>
        <w:tc>
          <w:tcPr>
            <w:tcW w:w="1701" w:type="dxa"/>
          </w:tcPr>
          <w:p>
            <w:pPr>
              <w:pStyle w:val="0"/>
            </w:pPr>
            <w:r>
              <w:rPr>
                <w:sz w:val="20"/>
              </w:rPr>
              <w:t xml:space="preserve">Налог на имущество организаций</w:t>
            </w:r>
          </w:p>
        </w:tc>
        <w:tc>
          <w:tcPr>
            <w:tcW w:w="5272" w:type="dxa"/>
          </w:tcPr>
          <w:p>
            <w:pPr>
              <w:pStyle w:val="0"/>
            </w:pPr>
            <w:r>
              <w:rPr>
                <w:sz w:val="20"/>
              </w:rPr>
              <w:t xml:space="preserve">- организации в отношении автомобильных дорог общего пользования регионального или межмуниципального и местного значения;</w:t>
            </w:r>
          </w:p>
          <w:p>
            <w:pPr>
              <w:pStyle w:val="0"/>
            </w:pPr>
            <w:r>
              <w:rPr>
                <w:sz w:val="20"/>
              </w:rPr>
              <w:t xml:space="preserve">- организации в отношении железнодорожных путей общего пользования и сооружений, являющихся их неотъемлемой технологической частью</w:t>
            </w:r>
          </w:p>
        </w:tc>
      </w:tr>
      <w:tr>
        <w:tc>
          <w:tcPr>
            <w:vMerge w:val="continue"/>
          </w:tcPr>
          <w:p/>
        </w:tc>
        <w:tc>
          <w:tcPr>
            <w:vMerge w:val="continue"/>
          </w:tcPr>
          <w:p/>
        </w:tc>
        <w:tc>
          <w:tcPr>
            <w:tcW w:w="1701" w:type="dxa"/>
            <w:vMerge w:val="restart"/>
          </w:tcPr>
          <w:p>
            <w:pPr>
              <w:pStyle w:val="0"/>
            </w:pPr>
            <w:r>
              <w:rPr>
                <w:sz w:val="20"/>
              </w:rPr>
              <w:t xml:space="preserve">Транспортный налог</w:t>
            </w:r>
          </w:p>
        </w:tc>
        <w:tc>
          <w:tcPr>
            <w:tcW w:w="5272" w:type="dxa"/>
            <w:tcBorders>
              <w:bottom w:val="nil"/>
            </w:tcBorders>
          </w:tcPr>
          <w:p>
            <w:pPr>
              <w:pStyle w:val="0"/>
            </w:pPr>
            <w:r>
              <w:rPr>
                <w:sz w:val="20"/>
              </w:rPr>
              <w:t xml:space="preserve">- налогоплательщики в отношении транспортных средств, оборудованных для использования природного газа в качестве моторного топлива;</w:t>
            </w:r>
          </w:p>
          <w:p>
            <w:pPr>
              <w:pStyle w:val="0"/>
            </w:pPr>
            <w:r>
              <w:rPr>
                <w:sz w:val="20"/>
              </w:rPr>
              <w:t xml:space="preserve">- сельскохозяйственные товаропроизводители (в отношении грузовых автомобилей, автобусов);</w:t>
            </w:r>
          </w:p>
        </w:tc>
      </w:tr>
      <w:tr>
        <w:tc>
          <w:tcPr>
            <w:vMerge w:val="continue"/>
          </w:tcPr>
          <w:p/>
        </w:tc>
        <w:tc>
          <w:tcPr>
            <w:vMerge w:val="continue"/>
          </w:tcPr>
          <w:p/>
        </w:tc>
        <w:tc>
          <w:tcPr>
            <w:vMerge w:val="continue"/>
          </w:tcPr>
          <w:p/>
        </w:tc>
        <w:tc>
          <w:tcPr>
            <w:tcW w:w="5272" w:type="dxa"/>
            <w:tcBorders>
              <w:top w:val="nil"/>
            </w:tcBorders>
          </w:tcPr>
          <w:p>
            <w:pPr>
              <w:pStyle w:val="0"/>
            </w:pPr>
            <w:r>
              <w:rPr>
                <w:sz w:val="20"/>
              </w:rPr>
              <w:t xml:space="preserve">- пенсионеры и инвалиды всех категорий, а также мужчины, достигшие возраста 60 лет, и женщины, достигшие возраста 55 лет, в отношении легковых автомобилей с мощностью двигателя не более 150 л. с. (110,33 кВт), мотоциклов и мотороллеров с мощностью двигателя не более 50 л. с. (36,78 кВт);</w:t>
            </w:r>
          </w:p>
          <w:p>
            <w:pPr>
              <w:pStyle w:val="0"/>
            </w:pPr>
            <w:r>
              <w:rPr>
                <w:sz w:val="20"/>
              </w:rPr>
              <w:t xml:space="preserve">- пенсионеры и инвалиды всех категорий, а также мужчины, достигшие возраста 60 лет, и женщины, достигшие возраста 55 лет, в отношении грузовых автомобилей с мощностью двигателя не более 75 л. с. (55,16 кВт), зарегистрированных до 01.01.2003;</w:t>
            </w:r>
          </w:p>
          <w:p>
            <w:pPr>
              <w:pStyle w:val="0"/>
            </w:pPr>
            <w:r>
              <w:rPr>
                <w:sz w:val="20"/>
              </w:rPr>
              <w:t xml:space="preserve">- один из родителей (усыновитель, опекун, попечитель) в семье, относящейся к многодетной в соответствии с </w:t>
            </w:r>
            <w:hyperlink w:history="0" r:id="rId39" w:tooltip="Закон Владимирской области от 02.10.2007 N 120-ОЗ (ред. от 11.07.2022) &quot;О социальной поддержке и социальном обслуживании отдельных категорий граждан во Владимирской области&quot; (принят постановлением ЗС Владимирской области от 26.09.2007 N 524) ------------ Недействующая редакция {КонсультантПлюс}">
              <w:r>
                <w:rPr>
                  <w:sz w:val="20"/>
                  <w:color w:val="0000ff"/>
                </w:rPr>
                <w:t xml:space="preserve">Законом</w:t>
              </w:r>
            </w:hyperlink>
            <w:r>
              <w:rPr>
                <w:sz w:val="20"/>
              </w:rPr>
              <w:t xml:space="preserve"> Владимирской области от 2 октября 2007 года N 120-ОЗ "О социальной поддержке и социальном обслуживании отдельных категорий граждан во Владимирской области" в отношении легкового автомобиля с мощностью двигателя не более 250 л. с. (183,9 кВт) или автобуса с мощностью двигателя не более 200 л. с. (147,1 кВт);</w:t>
            </w:r>
          </w:p>
          <w:p>
            <w:pPr>
              <w:pStyle w:val="0"/>
            </w:pPr>
            <w:r>
              <w:rPr>
                <w:sz w:val="20"/>
              </w:rPr>
              <w:t xml:space="preserve">- Герои Советского Союза, Герои Российской Федерации, граждане, награжденные орденом Славы трех степеней на одно транспортное средство с мощностью двигателя не более 150 л. с. (110,33 кВт);</w:t>
            </w:r>
          </w:p>
          <w:p>
            <w:pPr>
              <w:pStyle w:val="0"/>
            </w:pPr>
            <w:r>
              <w:rPr>
                <w:sz w:val="20"/>
              </w:rPr>
              <w:t xml:space="preserve">- граждане, подвергшиеся воздействию радиации вследствие катастрофы на Чернобыльской АЭС, и приравненные к ним граждане из подразделений особого риска на одно транспортное средство с мощностью двигателя не более 150 л. с. (110,33 кВт);</w:t>
            </w:r>
          </w:p>
          <w:p>
            <w:pPr>
              <w:pStyle w:val="0"/>
            </w:pPr>
            <w:r>
              <w:rPr>
                <w:sz w:val="20"/>
              </w:rPr>
              <w:t xml:space="preserve">- участники Великой Отечественной войны на одно транспортное средство с мощностью двигателя не более 150 л. с. (110,33 кВт);</w:t>
            </w:r>
          </w:p>
          <w:p>
            <w:pPr>
              <w:pStyle w:val="0"/>
            </w:pPr>
            <w:r>
              <w:rPr>
                <w:sz w:val="20"/>
              </w:rPr>
              <w:t xml:space="preserve">- инвалиды Великой Отечественной войны и инвалиды боевых действий на одно транспортное средство с мощностью двигателя не более 150 л. с. (110,33 кВт);</w:t>
            </w:r>
          </w:p>
          <w:p>
            <w:pPr>
              <w:pStyle w:val="0"/>
            </w:pPr>
            <w:r>
              <w:rPr>
                <w:sz w:val="20"/>
              </w:rPr>
              <w:t xml:space="preserve">- военнослужащие и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ставшие инвалидами вследствие ранения, контузии или увечья, полученные при исполнении обязанностей военной службы (служебных обязанностей), на одно транспортное средство с мощностью двигателя не более 150 л. с. (110,33 кВт);</w:t>
            </w:r>
          </w:p>
          <w:p>
            <w:pPr>
              <w:pStyle w:val="0"/>
            </w:pPr>
            <w:r>
              <w:rPr>
                <w:sz w:val="20"/>
              </w:rPr>
              <w:t xml:space="preserve">-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на одно транспортное средство с мощностью двигателя не более 150 л. с. (110,33 кВт);</w:t>
            </w:r>
          </w:p>
          <w:p>
            <w:pPr>
              <w:pStyle w:val="0"/>
            </w:pPr>
            <w:r>
              <w:rPr>
                <w:sz w:val="20"/>
              </w:rPr>
              <w:t xml:space="preserve">- один из родителей (усыновителей, опекунов, попечителей) ребенка-инвалида, проживающий совместно с ребенком-инвалидом, на один легковой автомобиль с мощностью двигателя не более 150 л. с. (110,33 кВт);</w:t>
            </w:r>
          </w:p>
          <w:p>
            <w:pPr>
              <w:pStyle w:val="0"/>
            </w:pPr>
            <w:r>
              <w:rPr>
                <w:sz w:val="20"/>
              </w:rPr>
              <w:t xml:space="preserve">- ветераны боевых действий на один легковой автомобиль с мощностью двигателя не более 110 л. с. (80,91 кВт);</w:t>
            </w:r>
          </w:p>
          <w:p>
            <w:pPr>
              <w:pStyle w:val="0"/>
            </w:pPr>
            <w:r>
              <w:rPr>
                <w:sz w:val="20"/>
              </w:rPr>
              <w:t xml:space="preserve">- организации, являющиеся резидентами особых экономических зон промышленно-производственного типа, созданных на территории Владимирской области</w:t>
            </w:r>
          </w:p>
        </w:tc>
      </w:tr>
      <w:tr>
        <w:tc>
          <w:tcPr>
            <w:tcW w:w="567" w:type="dxa"/>
          </w:tcPr>
          <w:p>
            <w:pPr>
              <w:pStyle w:val="0"/>
              <w:jc w:val="center"/>
            </w:pPr>
            <w:r>
              <w:rPr>
                <w:sz w:val="20"/>
              </w:rPr>
              <w:t xml:space="preserve">4.</w:t>
            </w:r>
          </w:p>
        </w:tc>
        <w:tc>
          <w:tcPr>
            <w:tcW w:w="1531" w:type="dxa"/>
          </w:tcPr>
          <w:p>
            <w:pPr>
              <w:pStyle w:val="0"/>
            </w:pPr>
            <w:r>
              <w:rPr>
                <w:sz w:val="20"/>
              </w:rPr>
              <w:t xml:space="preserve">Департамент цифрового развития Владимирской области</w:t>
            </w:r>
          </w:p>
        </w:tc>
        <w:tc>
          <w:tcPr>
            <w:tcW w:w="1701" w:type="dxa"/>
          </w:tcPr>
          <w:p>
            <w:pPr>
              <w:pStyle w:val="0"/>
            </w:pPr>
            <w:r>
              <w:rPr>
                <w:sz w:val="20"/>
              </w:rPr>
              <w:t xml:space="preserve">Налог на имущество организаций</w:t>
            </w:r>
          </w:p>
        </w:tc>
        <w:tc>
          <w:tcPr>
            <w:tcW w:w="5272" w:type="dxa"/>
          </w:tcPr>
          <w:p>
            <w:pPr>
              <w:pStyle w:val="0"/>
            </w:pPr>
            <w:r>
              <w:rPr>
                <w:sz w:val="20"/>
              </w:rPr>
              <w:t xml:space="preserve">- отделения почтовой связи, находящиеся в сельской местности</w:t>
            </w:r>
          </w:p>
        </w:tc>
      </w:tr>
    </w:tbl>
    <w:p>
      <w:pPr>
        <w:pStyle w:val="0"/>
        <w:jc w:val="both"/>
      </w:pPr>
      <w:r>
        <w:rPr>
          <w:sz w:val="20"/>
        </w:rPr>
      </w:r>
    </w:p>
    <w:p>
      <w:pPr>
        <w:pStyle w:val="0"/>
        <w:ind w:firstLine="540"/>
        <w:jc w:val="both"/>
      </w:pPr>
      <w:r>
        <w:rPr>
          <w:sz w:val="20"/>
        </w:rPr>
        <w:t xml:space="preserve">В целях оценки налоговых расходов кураторы налоговых расходов формируют перечень показателей для проведения оценки налоговых расходов, осуществляют оценку эффективности налоговых расходов на основании утвержденной ими методики и направляют результаты оценки для обобщения в департамент финансов, бюджетной и налоговой политики администрации области в срок до 25 мая.</w:t>
      </w:r>
    </w:p>
    <w:p>
      <w:pPr>
        <w:pStyle w:val="0"/>
        <w:spacing w:before="200" w:line-rule="auto"/>
        <w:ind w:firstLine="540"/>
        <w:jc w:val="both"/>
      </w:pPr>
      <w:r>
        <w:rPr>
          <w:sz w:val="20"/>
        </w:rPr>
        <w:t xml:space="preserve">Оценка эффективности налоговых расходов включает:</w:t>
      </w:r>
    </w:p>
    <w:p>
      <w:pPr>
        <w:pStyle w:val="0"/>
        <w:spacing w:before="200" w:line-rule="auto"/>
        <w:ind w:firstLine="540"/>
        <w:jc w:val="both"/>
      </w:pPr>
      <w:r>
        <w:rPr>
          <w:sz w:val="20"/>
        </w:rPr>
        <w:t xml:space="preserve">а) оценку целесообразности налоговых расходов;</w:t>
      </w:r>
    </w:p>
    <w:p>
      <w:pPr>
        <w:pStyle w:val="0"/>
        <w:spacing w:before="200" w:line-rule="auto"/>
        <w:ind w:firstLine="540"/>
        <w:jc w:val="both"/>
      </w:pPr>
      <w:r>
        <w:rPr>
          <w:sz w:val="20"/>
        </w:rPr>
        <w:t xml:space="preserve">б) оценку результативности налоговых расходов.</w:t>
      </w:r>
    </w:p>
    <w:p>
      <w:pPr>
        <w:pStyle w:val="0"/>
        <w:spacing w:before="200" w:line-rule="auto"/>
        <w:ind w:firstLine="540"/>
        <w:jc w:val="both"/>
      </w:pPr>
      <w:r>
        <w:rPr>
          <w:sz w:val="20"/>
        </w:rPr>
        <w:t xml:space="preserve">Критериями целесообразности налоговых расходов являются:</w:t>
      </w:r>
    </w:p>
    <w:p>
      <w:pPr>
        <w:pStyle w:val="0"/>
        <w:spacing w:before="200" w:line-rule="auto"/>
        <w:ind w:firstLine="540"/>
        <w:jc w:val="both"/>
      </w:pPr>
      <w:r>
        <w:rPr>
          <w:sz w:val="20"/>
        </w:rPr>
        <w:t xml:space="preserve">соответствие налоговых расходов целям государственных программ, структурным элементам государственных программ и (или) целям социально-экономического развития Владимирской области, не относящимся к государственным программам Владимирской области;</w:t>
      </w:r>
    </w:p>
    <w:p>
      <w:pPr>
        <w:pStyle w:val="0"/>
        <w:spacing w:before="200" w:line-rule="auto"/>
        <w:ind w:firstLine="540"/>
        <w:jc w:val="both"/>
      </w:pPr>
      <w:r>
        <w:rPr>
          <w:sz w:val="20"/>
        </w:rPr>
        <w:t xml:space="preserve">востребованность плательщиками предоставленных льгот,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pPr>
        <w:pStyle w:val="0"/>
        <w:spacing w:before="200" w:line-rule="auto"/>
        <w:ind w:firstLine="540"/>
        <w:jc w:val="both"/>
      </w:pPr>
      <w:r>
        <w:rPr>
          <w:sz w:val="20"/>
        </w:rPr>
        <w:t xml:space="preserve">Оценка результативности налоговых расходов включает оценку бюджетной эффективности налоговых расходов.</w:t>
      </w:r>
    </w:p>
    <w:p>
      <w:pPr>
        <w:pStyle w:val="0"/>
        <w:spacing w:before="200" w:line-rule="auto"/>
        <w:ind w:firstLine="540"/>
        <w:jc w:val="both"/>
      </w:pPr>
      <w:r>
        <w:rPr>
          <w:sz w:val="20"/>
        </w:rPr>
        <w:t xml:space="preserve">В целях оценки бюджетной эффективности налоговых расходов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государственной программы и (или) целей социально-экономического развития, не относящихся к государственным программам Владимирской области, а также оценка совокупного бюджетного эффекта (самоокупаемости) стимулирующих налоговых расходов Владимирской области.</w:t>
      </w:r>
    </w:p>
    <w:p>
      <w:pPr>
        <w:pStyle w:val="0"/>
        <w:spacing w:before="200" w:line-rule="auto"/>
        <w:ind w:firstLine="540"/>
        <w:jc w:val="both"/>
      </w:pPr>
      <w:r>
        <w:rPr>
          <w:sz w:val="20"/>
        </w:rPr>
        <w:t xml:space="preserve">По результатам оценки налоговых расходов куратором формулируется вывод о степени их эффективности и целесообразности их сохранения в дальнейшей перспективе.</w:t>
      </w:r>
    </w:p>
    <w:p>
      <w:pPr>
        <w:pStyle w:val="0"/>
        <w:spacing w:before="200" w:line-rule="auto"/>
        <w:ind w:firstLine="540"/>
        <w:jc w:val="both"/>
      </w:pPr>
      <w:r>
        <w:rPr>
          <w:sz w:val="20"/>
        </w:rPr>
        <w:t xml:space="preserve">По результатам оценки налоговых расходов за 2017 год, проведенной в 2019 году, отменена неэффективная налоговая льгота по налогу на прибыль организаций, установленная учреждениям и предприятиям уголовно-исполнительной системы.</w:t>
      </w:r>
    </w:p>
    <w:p>
      <w:pPr>
        <w:pStyle w:val="0"/>
        <w:spacing w:before="200" w:line-rule="auto"/>
        <w:ind w:firstLine="540"/>
        <w:jc w:val="both"/>
      </w:pPr>
      <w:r>
        <w:rPr>
          <w:sz w:val="20"/>
        </w:rPr>
        <w:t xml:space="preserve">По итогам проведенной в 2020 году оценки налоговых расходов за 2018 год признаны неэффективными налоговые расходы по налогу на имущество организаций в отношении железнодорожных путей общего пользования и сооружений, являющихся их неотъемлемой технологической частью. Бюджетная эффективность по налогу составила 302 млн. рублей. Указанная налоговая льгота будет отменена с 1 января 2021 года.</w:t>
      </w:r>
    </w:p>
    <w:p>
      <w:pPr>
        <w:pStyle w:val="0"/>
        <w:spacing w:before="200" w:line-rule="auto"/>
        <w:ind w:firstLine="540"/>
        <w:jc w:val="both"/>
      </w:pPr>
      <w:r>
        <w:rPr>
          <w:sz w:val="20"/>
        </w:rPr>
        <w:t xml:space="preserve">С 1 июля 2020 года на территории Владимирской области введен налог на профессиональный доход. Принятый </w:t>
      </w:r>
      <w:hyperlink w:history="0" r:id="rId40" w:tooltip="Закон Владимирской области от 29.05.2020 N 37-ОЗ &quot;О введении в действие на территории Владимирской области специального налогового режима &quot;Налог на профессиональный доход&quot; (принят постановлением ЗС Владимирской области от 28.05.2020 N 135) {КонсультантПлюс}">
        <w:r>
          <w:rPr>
            <w:sz w:val="20"/>
            <w:color w:val="0000ff"/>
          </w:rPr>
          <w:t xml:space="preserve">Закон</w:t>
        </w:r>
      </w:hyperlink>
      <w:r>
        <w:rPr>
          <w:sz w:val="20"/>
        </w:rPr>
        <w:t xml:space="preserve"> области от 29 мая 2020 г. N 37-ОЗ "О введении в действие на территории Владимирской области специального налогового режима "Налог на профессиональный доход" направлен на предоставление наиболее широкому кругу граждан возможности вести предпринимательскую деятельность в наиболее комфортных условиях, выбрав для этого такую систему налогообложения как специальный налоговый режим "Налог на профессиональный доход". Востребованность данного режима налогообложения объясняется тем, что он предоставляет "самозанятым" гражданам право легализовать свою предпринимательскую деятельность с минимальными издержками и вести ее в дальнейшем в наиболее простом и необременительном режиме (онлайн-регистрация, не требующая личного присутствия; отсутствие отчетности; ведение деятельности без контрольно-кассовой техники; размер налоговой ставки - 4 процента - для физических лиц или 6 процентов - для индивидуальных предпринимателей вместо уплаты налога на доходы физических лиц по ставке 13 процентов). Введение в действие налога на территории области не имеет своей целью получение дополнительных доходов.</w:t>
      </w:r>
    </w:p>
    <w:p>
      <w:pPr>
        <w:pStyle w:val="0"/>
        <w:spacing w:before="200" w:line-rule="auto"/>
        <w:ind w:firstLine="540"/>
        <w:jc w:val="both"/>
      </w:pPr>
      <w:r>
        <w:rPr>
          <w:sz w:val="20"/>
        </w:rPr>
        <w:t xml:space="preserve">В настоящее время в связи с высоким распространением новой коронавирусной инфекции введение указанного специального налогового режима позволит самозанятым воспользоваться всеми мерами государственной поддержки, которая сейчас доступна для малого и среднего бизнеса, а также будет способствовать сокращению роста безработных граждан.</w:t>
      </w:r>
    </w:p>
    <w:p>
      <w:pPr>
        <w:pStyle w:val="0"/>
        <w:spacing w:before="200" w:line-rule="auto"/>
        <w:ind w:firstLine="540"/>
        <w:jc w:val="both"/>
      </w:pPr>
      <w:r>
        <w:rPr>
          <w:sz w:val="20"/>
        </w:rPr>
        <w:t xml:space="preserve">В соответствии со </w:t>
      </w:r>
      <w:hyperlink w:history="0" r:id="rId41" w:tooltip="&quot;Бюджетный кодекс Российской Федерации&quot; от 31.07.1998 N 145-ФЗ (ред. от 14.07.2022) ------------ Недействующая редакция {КонсультантПлюс}">
        <w:r>
          <w:rPr>
            <w:sz w:val="20"/>
            <w:color w:val="0000ff"/>
          </w:rPr>
          <w:t xml:space="preserve">статьями 56</w:t>
        </w:r>
      </w:hyperlink>
      <w:r>
        <w:rPr>
          <w:sz w:val="20"/>
        </w:rPr>
        <w:t xml:space="preserve">, </w:t>
      </w:r>
      <w:hyperlink w:history="0" r:id="rId42" w:tooltip="&quot;Бюджетный кодекс Российской Федерации&quot; от 31.07.1998 N 145-ФЗ (ред. от 14.07.2022) ------------ Недействующая редакция {КонсультантПлюс}">
        <w:r>
          <w:rPr>
            <w:sz w:val="20"/>
            <w:color w:val="0000ff"/>
          </w:rPr>
          <w:t xml:space="preserve">146</w:t>
        </w:r>
      </w:hyperlink>
      <w:r>
        <w:rPr>
          <w:sz w:val="20"/>
        </w:rPr>
        <w:t xml:space="preserve"> Бюджетного кодекса Российской Федерации поступления доходов от налога на профессиональный доход подлежат зачислению по нормативу 63% в областной бюджет, по нормативу 37% - в Федеральный фонд обязательного медицинского страхования.</w:t>
      </w:r>
    </w:p>
    <w:p>
      <w:pPr>
        <w:pStyle w:val="0"/>
        <w:spacing w:before="200" w:line-rule="auto"/>
        <w:ind w:firstLine="540"/>
        <w:jc w:val="both"/>
      </w:pPr>
      <w:r>
        <w:rPr>
          <w:sz w:val="20"/>
        </w:rPr>
        <w:t xml:space="preserve">С 1 января 2021 года предполагается установление особенностей определения налоговой базы по налогу на имущество организаций исходя из кадастровой стоимости в отношении следующих объектов недвижимого имущества:</w:t>
      </w:r>
    </w:p>
    <w:p>
      <w:pPr>
        <w:pStyle w:val="0"/>
        <w:spacing w:before="200" w:line-rule="auto"/>
        <w:ind w:firstLine="540"/>
        <w:jc w:val="both"/>
      </w:pPr>
      <w:r>
        <w:rPr>
          <w:sz w:val="20"/>
        </w:rPr>
        <w:t xml:space="preserve">- административно-деловых центров и торговых центров (комплексов) и помещений в них;</w:t>
      </w:r>
    </w:p>
    <w:p>
      <w:pPr>
        <w:pStyle w:val="0"/>
        <w:spacing w:before="200" w:line-rule="auto"/>
        <w:ind w:firstLine="540"/>
        <w:jc w:val="both"/>
      </w:pPr>
      <w:r>
        <w:rPr>
          <w:sz w:val="20"/>
        </w:rPr>
        <w:t xml:space="preserve">- нежилых помещений, назначение которых предусматривает размещение офисов, торговых объектов, объектов общественного питания и бытового обслуживания;</w:t>
      </w:r>
    </w:p>
    <w:p>
      <w:pPr>
        <w:pStyle w:val="0"/>
        <w:spacing w:before="200" w:line-rule="auto"/>
        <w:ind w:firstLine="540"/>
        <w:jc w:val="both"/>
      </w:pPr>
      <w:r>
        <w:rPr>
          <w:sz w:val="20"/>
        </w:rPr>
        <w:t xml:space="preserve">- объектов недвижимого имущества иностранных организаций, не осуществляющих деятельности в Российской Федерации через постоянные представительства;</w:t>
      </w:r>
    </w:p>
    <w:p>
      <w:pPr>
        <w:pStyle w:val="0"/>
        <w:spacing w:before="200" w:line-rule="auto"/>
        <w:ind w:firstLine="540"/>
        <w:jc w:val="both"/>
      </w:pPr>
      <w:r>
        <w:rPr>
          <w:sz w:val="20"/>
        </w:rPr>
        <w:t xml:space="preserve">- жилых помещений, гаражей, машино-мест, объектов незавершенного строительства, а также жилых строений, садовых домов, хозяйственных строений или сооружений, расположенных на земельных участках, предоставленных для ведения личного подсобного хозяйства, огородничества, садоводства или индивидуального жилищного строительства.</w:t>
      </w:r>
    </w:p>
    <w:p>
      <w:pPr>
        <w:pStyle w:val="0"/>
        <w:spacing w:before="200" w:line-rule="auto"/>
        <w:ind w:firstLine="540"/>
        <w:jc w:val="both"/>
      </w:pPr>
      <w:r>
        <w:rPr>
          <w:sz w:val="20"/>
        </w:rPr>
        <w:t xml:space="preserve">Для административно-деловых центров, торговых центров (комплексов) и помещений в них, нежилых помещений под офисы, а также торговых объектов, объектов общественного питания и бытового обслуживания предусматриваются ограничения по площади. Предлагается перевести на исчисление налога от кадастровой стоимости только объекты, имеющие общую площадь свыше 1000 квадратных метров.</w:t>
      </w:r>
    </w:p>
    <w:p>
      <w:pPr>
        <w:pStyle w:val="0"/>
        <w:spacing w:before="200" w:line-rule="auto"/>
        <w:ind w:firstLine="540"/>
        <w:jc w:val="both"/>
      </w:pPr>
      <w:r>
        <w:rPr>
          <w:sz w:val="20"/>
        </w:rPr>
        <w:t xml:space="preserve">Предусматривается переходный период по установлению налоговых ставок налога на имущество организаций в следующих размерах: в 2021 году - 1,5 процента, в 2022 году - 1,5 процента. Начиная с 2023 года налоговая ставка устанавливается в размере 2 процентов.</w:t>
      </w:r>
    </w:p>
    <w:p>
      <w:pPr>
        <w:pStyle w:val="0"/>
        <w:spacing w:before="200" w:line-rule="auto"/>
        <w:ind w:firstLine="540"/>
        <w:jc w:val="both"/>
      </w:pPr>
      <w:r>
        <w:rPr>
          <w:sz w:val="20"/>
        </w:rPr>
        <w:t xml:space="preserve">В целях стимулирования налогоплательщиков к обновлению основных фондов с 1 января 2021 года предлагается ввести инвестиционный налоговый вычет по налогу на прибыль организаций для:</w:t>
      </w:r>
    </w:p>
    <w:p>
      <w:pPr>
        <w:pStyle w:val="0"/>
        <w:spacing w:before="200" w:line-rule="auto"/>
        <w:ind w:firstLine="540"/>
        <w:jc w:val="both"/>
      </w:pPr>
      <w:r>
        <w:rPr>
          <w:sz w:val="20"/>
        </w:rPr>
        <w:t xml:space="preserve">- организаций, реализующих на территории области инвестиционные проекты;</w:t>
      </w:r>
    </w:p>
    <w:p>
      <w:pPr>
        <w:pStyle w:val="0"/>
        <w:spacing w:before="200" w:line-rule="auto"/>
        <w:ind w:firstLine="540"/>
        <w:jc w:val="both"/>
      </w:pPr>
      <w:r>
        <w:rPr>
          <w:sz w:val="20"/>
        </w:rPr>
        <w:t xml:space="preserve">- организаций-участников национального проекта "Производительность труда и поддержка занятости";</w:t>
      </w:r>
    </w:p>
    <w:p>
      <w:pPr>
        <w:pStyle w:val="0"/>
        <w:spacing w:before="200" w:line-rule="auto"/>
        <w:ind w:firstLine="540"/>
        <w:jc w:val="both"/>
      </w:pPr>
      <w:r>
        <w:rPr>
          <w:sz w:val="20"/>
        </w:rPr>
        <w:t xml:space="preserve">- организаций, являющихся стороной соглашения о государственно-частном партнерстве, муниципально-частном партнерстве или концессионных соглашений.</w:t>
      </w:r>
    </w:p>
    <w:p>
      <w:pPr>
        <w:pStyle w:val="0"/>
        <w:spacing w:before="200" w:line-rule="auto"/>
        <w:ind w:firstLine="540"/>
        <w:jc w:val="both"/>
      </w:pPr>
      <w:r>
        <w:rPr>
          <w:sz w:val="20"/>
        </w:rPr>
        <w:t xml:space="preserve">Введенная для этих категорий налогоплательщиков преференция будет способствовать успешной реализации в области национального проекта, а также государственно-частного и муниципально-частного партнерства за счет направления высвободившихся средств на развитие организаций.</w:t>
      </w:r>
    </w:p>
    <w:p>
      <w:pPr>
        <w:pStyle w:val="0"/>
        <w:spacing w:before="200" w:line-rule="auto"/>
        <w:ind w:firstLine="540"/>
        <w:jc w:val="both"/>
      </w:pPr>
      <w:r>
        <w:rPr>
          <w:sz w:val="20"/>
        </w:rPr>
        <w:t xml:space="preserve">Объем налоговых расходов областного бюджета составит в 2021 году 8435 млн. рублей, в 2022 году увеличиться до 8824 млн. рублей, в 2023 году - до 9233 млн. рублей.</w:t>
      </w:r>
    </w:p>
    <w:p>
      <w:pPr>
        <w:pStyle w:val="0"/>
        <w:jc w:val="both"/>
      </w:pPr>
      <w:r>
        <w:rPr>
          <w:sz w:val="20"/>
        </w:rPr>
      </w:r>
    </w:p>
    <w:p>
      <w:pPr>
        <w:pStyle w:val="2"/>
        <w:outlineLvl w:val="1"/>
        <w:jc w:val="center"/>
      </w:pPr>
      <w:r>
        <w:rPr>
          <w:sz w:val="20"/>
        </w:rPr>
        <w:t xml:space="preserve">IV. Основные параметры налоговых и неналоговых доходов</w:t>
      </w:r>
    </w:p>
    <w:p>
      <w:pPr>
        <w:pStyle w:val="2"/>
        <w:jc w:val="center"/>
      </w:pPr>
      <w:r>
        <w:rPr>
          <w:sz w:val="20"/>
        </w:rPr>
        <w:t xml:space="preserve">консолидированного бюджета области и областного бюджета</w:t>
      </w:r>
    </w:p>
    <w:p>
      <w:pPr>
        <w:pStyle w:val="2"/>
        <w:jc w:val="center"/>
      </w:pPr>
      <w:r>
        <w:rPr>
          <w:sz w:val="20"/>
        </w:rPr>
        <w:t xml:space="preserve">на 2021 год и на плановый период 2022 и 2023 годов</w:t>
      </w:r>
    </w:p>
    <w:p>
      <w:pPr>
        <w:pStyle w:val="0"/>
        <w:jc w:val="both"/>
      </w:pPr>
      <w:r>
        <w:rPr>
          <w:sz w:val="20"/>
        </w:rPr>
      </w:r>
    </w:p>
    <w:p>
      <w:pPr>
        <w:pStyle w:val="0"/>
        <w:ind w:firstLine="540"/>
        <w:jc w:val="both"/>
      </w:pPr>
      <w:r>
        <w:rPr>
          <w:sz w:val="20"/>
        </w:rPr>
        <w:t xml:space="preserve">Основой для расчета налоговых и неналоговых доходов являются основные показатели прогноза социально-экономического развития области на 2021 - 2023 годы.</w:t>
      </w:r>
    </w:p>
    <w:p>
      <w:pPr>
        <w:pStyle w:val="0"/>
        <w:spacing w:before="200" w:line-rule="auto"/>
        <w:ind w:firstLine="540"/>
        <w:jc w:val="both"/>
      </w:pPr>
      <w:r>
        <w:rPr>
          <w:sz w:val="20"/>
        </w:rPr>
        <w:t xml:space="preserve">Показатели прогноза социально-экономического развития области на 2021 год и на плановый период 2022 - 2023 годы утверждены распоряжениями администрации области от 12 сентября 2019 г. </w:t>
      </w:r>
      <w:hyperlink w:history="0" r:id="rId43" w:tooltip="Распоряжение администрации Владимирской обл. от 12.09.2019 N 754-р (с изм. от 03.10.2019) &quot;О прогнозе социально-экономического развития Владимирской области на 2020 - 2024 годы&quot; (вместе с &quot;Прогнозом социально-экономического развития Владимирской области на среднесрочный период 2020 - 2024 годов&quot;) {КонсультантПлюс}">
        <w:r>
          <w:rPr>
            <w:sz w:val="20"/>
            <w:color w:val="0000ff"/>
          </w:rPr>
          <w:t xml:space="preserve">N 754-р</w:t>
        </w:r>
      </w:hyperlink>
      <w:r>
        <w:rPr>
          <w:sz w:val="20"/>
        </w:rPr>
        <w:t xml:space="preserve"> и от 3 октября 2019 г. </w:t>
      </w:r>
      <w:hyperlink w:history="0" r:id="rId44" w:tooltip="Распоряжение администрации Владимирской обл. от 03.10.2019 N 829-р &quot;О внесении изменений в распоряжение администрации области от 12.09.2019 N 754-р&quot; {КонсультантПлюс}">
        <w:r>
          <w:rPr>
            <w:sz w:val="20"/>
            <w:color w:val="0000ff"/>
          </w:rPr>
          <w:t xml:space="preserve">N 829-р</w:t>
        </w:r>
      </w:hyperlink>
      <w:r>
        <w:rPr>
          <w:sz w:val="20"/>
        </w:rPr>
        <w:t xml:space="preserve">.</w:t>
      </w:r>
    </w:p>
    <w:p>
      <w:pPr>
        <w:pStyle w:val="0"/>
        <w:spacing w:before="200" w:line-rule="auto"/>
        <w:ind w:firstLine="540"/>
        <w:jc w:val="both"/>
      </w:pPr>
      <w:r>
        <w:rPr>
          <w:sz w:val="20"/>
        </w:rPr>
        <w:t xml:space="preserve">Для расчета исходных данных для составления прогноза областного бюджета на 2021 - 2023 годы использовались уточненные показатели прогноза социально-экономического развития области, представленные комитетом экономического развития администрации области (письмо от 14 мая 2020 года N АБХ - 405) (таблица 4).</w:t>
      </w:r>
    </w:p>
    <w:p>
      <w:pPr>
        <w:pStyle w:val="0"/>
        <w:jc w:val="both"/>
      </w:pPr>
      <w:r>
        <w:rPr>
          <w:sz w:val="20"/>
        </w:rPr>
      </w:r>
    </w:p>
    <w:p>
      <w:pPr>
        <w:pStyle w:val="0"/>
        <w:outlineLvl w:val="2"/>
        <w:jc w:val="right"/>
      </w:pPr>
      <w:r>
        <w:rPr>
          <w:sz w:val="20"/>
        </w:rPr>
        <w:t xml:space="preserve">Таблица 4</w:t>
      </w:r>
    </w:p>
    <w:p>
      <w:pPr>
        <w:pStyle w:val="0"/>
        <w:jc w:val="both"/>
      </w:pPr>
      <w:r>
        <w:rPr>
          <w:sz w:val="20"/>
        </w:rPr>
      </w:r>
    </w:p>
    <w:p>
      <w:pPr>
        <w:pStyle w:val="2"/>
        <w:jc w:val="center"/>
      </w:pPr>
      <w:r>
        <w:rPr>
          <w:sz w:val="20"/>
        </w:rPr>
        <w:t xml:space="preserve">Показатели</w:t>
      </w:r>
    </w:p>
    <w:p>
      <w:pPr>
        <w:pStyle w:val="2"/>
        <w:jc w:val="center"/>
      </w:pPr>
      <w:r>
        <w:rPr>
          <w:sz w:val="20"/>
        </w:rPr>
        <w:t xml:space="preserve">социально-экономического развития Владимирской области</w:t>
      </w:r>
    </w:p>
    <w:p>
      <w:pPr>
        <w:pStyle w:val="2"/>
        <w:jc w:val="center"/>
      </w:pPr>
      <w:r>
        <w:rPr>
          <w:sz w:val="20"/>
        </w:rPr>
        <w:t xml:space="preserve">на 2021 - 2023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gridCol w:w="1416"/>
        <w:gridCol w:w="1416"/>
        <w:gridCol w:w="1417"/>
      </w:tblGrid>
      <w:tr>
        <w:tc>
          <w:tcPr>
            <w:tcW w:w="4819" w:type="dxa"/>
          </w:tcPr>
          <w:p>
            <w:pPr>
              <w:pStyle w:val="0"/>
              <w:jc w:val="center"/>
            </w:pPr>
            <w:r>
              <w:rPr>
                <w:sz w:val="20"/>
              </w:rPr>
              <w:t xml:space="preserve">Показатели</w:t>
            </w:r>
          </w:p>
        </w:tc>
        <w:tc>
          <w:tcPr>
            <w:tcW w:w="1416" w:type="dxa"/>
          </w:tcPr>
          <w:p>
            <w:pPr>
              <w:pStyle w:val="0"/>
              <w:jc w:val="center"/>
            </w:pPr>
            <w:r>
              <w:rPr>
                <w:sz w:val="20"/>
              </w:rPr>
              <w:t xml:space="preserve">2021 год</w:t>
            </w:r>
          </w:p>
        </w:tc>
        <w:tc>
          <w:tcPr>
            <w:tcW w:w="1416" w:type="dxa"/>
          </w:tcPr>
          <w:p>
            <w:pPr>
              <w:pStyle w:val="0"/>
              <w:jc w:val="center"/>
            </w:pPr>
            <w:r>
              <w:rPr>
                <w:sz w:val="20"/>
              </w:rPr>
              <w:t xml:space="preserve">2022 год</w:t>
            </w:r>
          </w:p>
        </w:tc>
        <w:tc>
          <w:tcPr>
            <w:tcW w:w="1417" w:type="dxa"/>
          </w:tcPr>
          <w:p>
            <w:pPr>
              <w:pStyle w:val="0"/>
              <w:jc w:val="center"/>
            </w:pPr>
            <w:r>
              <w:rPr>
                <w:sz w:val="20"/>
              </w:rPr>
              <w:t xml:space="preserve">2023 год</w:t>
            </w:r>
          </w:p>
        </w:tc>
      </w:tr>
      <w:tr>
        <w:tc>
          <w:tcPr>
            <w:tcW w:w="4819" w:type="dxa"/>
          </w:tcPr>
          <w:p>
            <w:pPr>
              <w:pStyle w:val="0"/>
            </w:pPr>
            <w:r>
              <w:rPr>
                <w:sz w:val="20"/>
              </w:rPr>
              <w:t xml:space="preserve">Валовой региональный продукт, млн. рублей</w:t>
            </w:r>
          </w:p>
        </w:tc>
        <w:tc>
          <w:tcPr>
            <w:tcW w:w="1416" w:type="dxa"/>
          </w:tcPr>
          <w:p>
            <w:pPr>
              <w:pStyle w:val="0"/>
              <w:jc w:val="center"/>
            </w:pPr>
            <w:r>
              <w:rPr>
                <w:sz w:val="20"/>
              </w:rPr>
              <w:t xml:space="preserve">507987,3</w:t>
            </w:r>
          </w:p>
        </w:tc>
        <w:tc>
          <w:tcPr>
            <w:tcW w:w="1416" w:type="dxa"/>
          </w:tcPr>
          <w:p>
            <w:pPr>
              <w:pStyle w:val="0"/>
              <w:jc w:val="center"/>
            </w:pPr>
            <w:r>
              <w:rPr>
                <w:sz w:val="20"/>
              </w:rPr>
              <w:t xml:space="preserve">538307,9</w:t>
            </w:r>
          </w:p>
        </w:tc>
        <w:tc>
          <w:tcPr>
            <w:tcW w:w="1417" w:type="dxa"/>
          </w:tcPr>
          <w:p>
            <w:pPr>
              <w:pStyle w:val="0"/>
              <w:jc w:val="center"/>
            </w:pPr>
            <w:r>
              <w:rPr>
                <w:sz w:val="20"/>
              </w:rPr>
              <w:t xml:space="preserve">569917,4</w:t>
            </w:r>
          </w:p>
        </w:tc>
      </w:tr>
      <w:tr>
        <w:tc>
          <w:tcPr>
            <w:tcW w:w="4819" w:type="dxa"/>
          </w:tcPr>
          <w:p>
            <w:pPr>
              <w:pStyle w:val="0"/>
            </w:pPr>
            <w:r>
              <w:rPr>
                <w:sz w:val="20"/>
              </w:rPr>
              <w:t xml:space="preserve">Индекс физического объема ВРП, %</w:t>
            </w:r>
          </w:p>
        </w:tc>
        <w:tc>
          <w:tcPr>
            <w:tcW w:w="1416" w:type="dxa"/>
          </w:tcPr>
          <w:p>
            <w:pPr>
              <w:pStyle w:val="0"/>
              <w:jc w:val="center"/>
            </w:pPr>
            <w:r>
              <w:rPr>
                <w:sz w:val="20"/>
              </w:rPr>
              <w:t xml:space="preserve">101,1</w:t>
            </w:r>
          </w:p>
        </w:tc>
        <w:tc>
          <w:tcPr>
            <w:tcW w:w="1416" w:type="dxa"/>
          </w:tcPr>
          <w:p>
            <w:pPr>
              <w:pStyle w:val="0"/>
              <w:jc w:val="center"/>
            </w:pPr>
            <w:r>
              <w:rPr>
                <w:sz w:val="20"/>
              </w:rPr>
              <w:t xml:space="preserve">101,6</w:t>
            </w:r>
          </w:p>
        </w:tc>
        <w:tc>
          <w:tcPr>
            <w:tcW w:w="1417" w:type="dxa"/>
          </w:tcPr>
          <w:p>
            <w:pPr>
              <w:pStyle w:val="0"/>
              <w:jc w:val="center"/>
            </w:pPr>
            <w:r>
              <w:rPr>
                <w:sz w:val="20"/>
              </w:rPr>
              <w:t xml:space="preserve">101,8</w:t>
            </w:r>
          </w:p>
        </w:tc>
      </w:tr>
      <w:tr>
        <w:tc>
          <w:tcPr>
            <w:tcW w:w="4819" w:type="dxa"/>
          </w:tcPr>
          <w:p>
            <w:pPr>
              <w:pStyle w:val="0"/>
            </w:pPr>
            <w:r>
              <w:rPr>
                <w:sz w:val="20"/>
              </w:rPr>
              <w:t xml:space="preserve">Прибыль прибыльных организаций (без субъектов малого предпринимательства), млн. рублей</w:t>
            </w:r>
          </w:p>
        </w:tc>
        <w:tc>
          <w:tcPr>
            <w:tcW w:w="1416" w:type="dxa"/>
          </w:tcPr>
          <w:p>
            <w:pPr>
              <w:pStyle w:val="0"/>
              <w:jc w:val="center"/>
            </w:pPr>
            <w:r>
              <w:rPr>
                <w:sz w:val="20"/>
              </w:rPr>
              <w:t xml:space="preserve">82934,8</w:t>
            </w:r>
          </w:p>
        </w:tc>
        <w:tc>
          <w:tcPr>
            <w:tcW w:w="1416" w:type="dxa"/>
          </w:tcPr>
          <w:p>
            <w:pPr>
              <w:pStyle w:val="0"/>
              <w:jc w:val="center"/>
            </w:pPr>
            <w:r>
              <w:rPr>
                <w:sz w:val="20"/>
              </w:rPr>
              <w:t xml:space="preserve">86252,2</w:t>
            </w:r>
          </w:p>
        </w:tc>
        <w:tc>
          <w:tcPr>
            <w:tcW w:w="1417" w:type="dxa"/>
          </w:tcPr>
          <w:p>
            <w:pPr>
              <w:pStyle w:val="0"/>
              <w:jc w:val="center"/>
            </w:pPr>
            <w:r>
              <w:rPr>
                <w:sz w:val="20"/>
              </w:rPr>
              <w:t xml:space="preserve">89874,8</w:t>
            </w:r>
          </w:p>
        </w:tc>
      </w:tr>
      <w:tr>
        <w:tc>
          <w:tcPr>
            <w:tcW w:w="4819" w:type="dxa"/>
          </w:tcPr>
          <w:p>
            <w:pPr>
              <w:pStyle w:val="0"/>
            </w:pPr>
            <w:r>
              <w:rPr>
                <w:sz w:val="20"/>
              </w:rPr>
              <w:t xml:space="preserve">Фонд заработной платы работников (без субъектов малого предпринимательства), млн. рублей</w:t>
            </w:r>
          </w:p>
        </w:tc>
        <w:tc>
          <w:tcPr>
            <w:tcW w:w="1416" w:type="dxa"/>
          </w:tcPr>
          <w:p>
            <w:pPr>
              <w:pStyle w:val="0"/>
              <w:jc w:val="center"/>
            </w:pPr>
            <w:r>
              <w:rPr>
                <w:sz w:val="20"/>
              </w:rPr>
              <w:t xml:space="preserve">167293,5</w:t>
            </w:r>
          </w:p>
        </w:tc>
        <w:tc>
          <w:tcPr>
            <w:tcW w:w="1416" w:type="dxa"/>
          </w:tcPr>
          <w:p>
            <w:pPr>
              <w:pStyle w:val="0"/>
              <w:jc w:val="center"/>
            </w:pPr>
            <w:r>
              <w:rPr>
                <w:sz w:val="20"/>
              </w:rPr>
              <w:t xml:space="preserve">173916,4</w:t>
            </w:r>
          </w:p>
        </w:tc>
        <w:tc>
          <w:tcPr>
            <w:tcW w:w="1417" w:type="dxa"/>
          </w:tcPr>
          <w:p>
            <w:pPr>
              <w:pStyle w:val="0"/>
              <w:jc w:val="center"/>
            </w:pPr>
            <w:r>
              <w:rPr>
                <w:sz w:val="20"/>
              </w:rPr>
              <w:t xml:space="preserve">181240,6</w:t>
            </w:r>
          </w:p>
        </w:tc>
      </w:tr>
      <w:tr>
        <w:tc>
          <w:tcPr>
            <w:tcW w:w="4819" w:type="dxa"/>
          </w:tcPr>
          <w:p>
            <w:pPr>
              <w:pStyle w:val="0"/>
            </w:pPr>
            <w:r>
              <w:rPr>
                <w:sz w:val="20"/>
              </w:rPr>
              <w:t xml:space="preserve">Индекс потребительских цен, %</w:t>
            </w:r>
          </w:p>
        </w:tc>
        <w:tc>
          <w:tcPr>
            <w:tcW w:w="1416" w:type="dxa"/>
          </w:tcPr>
          <w:p>
            <w:pPr>
              <w:pStyle w:val="0"/>
              <w:jc w:val="center"/>
            </w:pPr>
            <w:r>
              <w:rPr>
                <w:sz w:val="20"/>
              </w:rPr>
              <w:t xml:space="preserve">104,0</w:t>
            </w:r>
          </w:p>
        </w:tc>
        <w:tc>
          <w:tcPr>
            <w:tcW w:w="1416" w:type="dxa"/>
          </w:tcPr>
          <w:p>
            <w:pPr>
              <w:pStyle w:val="0"/>
              <w:jc w:val="center"/>
            </w:pPr>
            <w:r>
              <w:rPr>
                <w:sz w:val="20"/>
              </w:rPr>
              <w:t xml:space="preserve">104,0</w:t>
            </w:r>
          </w:p>
        </w:tc>
        <w:tc>
          <w:tcPr>
            <w:tcW w:w="1417" w:type="dxa"/>
          </w:tcPr>
          <w:p>
            <w:pPr>
              <w:pStyle w:val="0"/>
              <w:jc w:val="center"/>
            </w:pPr>
            <w:r>
              <w:rPr>
                <w:sz w:val="20"/>
              </w:rPr>
              <w:t xml:space="preserve">104,0</w:t>
            </w:r>
          </w:p>
        </w:tc>
      </w:tr>
      <w:tr>
        <w:tc>
          <w:tcPr>
            <w:tcW w:w="4819" w:type="dxa"/>
          </w:tcPr>
          <w:p>
            <w:pPr>
              <w:pStyle w:val="0"/>
            </w:pPr>
            <w:r>
              <w:rPr>
                <w:sz w:val="20"/>
              </w:rPr>
              <w:t xml:space="preserve">Инвестиции в основной капитал, млн. рублей</w:t>
            </w:r>
          </w:p>
        </w:tc>
        <w:tc>
          <w:tcPr>
            <w:tcW w:w="1416" w:type="dxa"/>
          </w:tcPr>
          <w:p>
            <w:pPr>
              <w:pStyle w:val="0"/>
              <w:jc w:val="center"/>
            </w:pPr>
            <w:r>
              <w:rPr>
                <w:sz w:val="20"/>
              </w:rPr>
              <w:t xml:space="preserve">81355,8</w:t>
            </w:r>
          </w:p>
        </w:tc>
        <w:tc>
          <w:tcPr>
            <w:tcW w:w="1416" w:type="dxa"/>
          </w:tcPr>
          <w:p>
            <w:pPr>
              <w:pStyle w:val="0"/>
              <w:jc w:val="center"/>
            </w:pPr>
            <w:r>
              <w:rPr>
                <w:sz w:val="20"/>
              </w:rPr>
              <w:t xml:space="preserve">84206,0</w:t>
            </w:r>
          </w:p>
        </w:tc>
        <w:tc>
          <w:tcPr>
            <w:tcW w:w="1417" w:type="dxa"/>
          </w:tcPr>
          <w:p>
            <w:pPr>
              <w:pStyle w:val="0"/>
              <w:jc w:val="center"/>
            </w:pPr>
            <w:r>
              <w:rPr>
                <w:sz w:val="20"/>
              </w:rPr>
              <w:t xml:space="preserve">87240,4</w:t>
            </w:r>
          </w:p>
        </w:tc>
      </w:tr>
    </w:tbl>
    <w:p>
      <w:pPr>
        <w:pStyle w:val="0"/>
        <w:jc w:val="both"/>
      </w:pPr>
      <w:r>
        <w:rPr>
          <w:sz w:val="20"/>
        </w:rPr>
      </w:r>
    </w:p>
    <w:p>
      <w:pPr>
        <w:pStyle w:val="0"/>
        <w:ind w:firstLine="540"/>
        <w:jc w:val="both"/>
      </w:pPr>
      <w:r>
        <w:rPr>
          <w:sz w:val="20"/>
        </w:rPr>
        <w:t xml:space="preserve">Представленные комитетом экономического развития администрации области уточненные прогнозные данные на 2021 год снижены по отношению к утвержденным распоряжением администрации области показателям: по объему ВРП - на 2,2%; прибыли прибыльных организаций - на 5,5%; инвестиций - на 2,1%, фонда заработной платы работников - на 6,7%, на 2022 год эти показатели снижены на 1,6%, 5,5%, 2,4%, и 9,1% соответственно, на 2023 год эти показатели снижены на 1,1%, 5,5%, 2,6%, и 10,7% соответственно.</w:t>
      </w:r>
    </w:p>
    <w:p>
      <w:pPr>
        <w:pStyle w:val="0"/>
        <w:spacing w:before="200" w:line-rule="auto"/>
        <w:ind w:firstLine="540"/>
        <w:jc w:val="both"/>
      </w:pPr>
      <w:r>
        <w:rPr>
          <w:sz w:val="20"/>
        </w:rPr>
        <w:t xml:space="preserve">С учетом уточнения индекс физического объема ВРП прогнозируется на 2021 год - 101,1%, на 2022 год - 101,6%, на 2023 год - 101,8%, его объем составит в 2021 году 507987,3 млн. рублей и увеличится к 2023 году до 569917,4 млн. рублей.</w:t>
      </w:r>
    </w:p>
    <w:p>
      <w:pPr>
        <w:pStyle w:val="0"/>
        <w:spacing w:before="200" w:line-rule="auto"/>
        <w:ind w:firstLine="540"/>
        <w:jc w:val="both"/>
      </w:pPr>
      <w:r>
        <w:rPr>
          <w:sz w:val="20"/>
        </w:rPr>
        <w:t xml:space="preserve">Объем прибыли прибыльных организаций прогнозируется на 2021 год в сумме 82934,8 млн. рублей (103,7% к 2020 году), на 2022 год - 86252,2 млн. рублей (104% к 2021 году), на 2023 год - 89874,8 млн. рублей (104,2% к 2022 году).</w:t>
      </w:r>
    </w:p>
    <w:p>
      <w:pPr>
        <w:pStyle w:val="0"/>
        <w:spacing w:before="200" w:line-rule="auto"/>
        <w:ind w:firstLine="540"/>
        <w:jc w:val="both"/>
      </w:pPr>
      <w:r>
        <w:rPr>
          <w:sz w:val="20"/>
        </w:rPr>
        <w:t xml:space="preserve">Прогнозируемое снижение темпов роста фонда заработной платы в 2021 году с 6,6% до 3% к 2020 году повлияло на его объем, который составит в 2021 году 167293,5 млн. рублей и к 2023 году увеличиться до 181240,6 млн. рублей.</w:t>
      </w:r>
    </w:p>
    <w:p>
      <w:pPr>
        <w:pStyle w:val="0"/>
        <w:spacing w:before="200" w:line-rule="auto"/>
        <w:ind w:firstLine="540"/>
        <w:jc w:val="both"/>
      </w:pPr>
      <w:r>
        <w:rPr>
          <w:sz w:val="20"/>
        </w:rPr>
        <w:t xml:space="preserve">Объем инвестиций в основной капитал составит в 2021 году 81355,8 млн. рублей (103,4% к 2020 году), в 2022 году - 84206 млн. рублей (103,5% к 2021 году), в 2023 году - 87240,4 млн. рублей (103,6% к 2022 году).</w:t>
      </w:r>
    </w:p>
    <w:p>
      <w:pPr>
        <w:pStyle w:val="0"/>
        <w:spacing w:before="200" w:line-rule="auto"/>
        <w:ind w:firstLine="540"/>
        <w:jc w:val="both"/>
      </w:pPr>
      <w:r>
        <w:rPr>
          <w:sz w:val="20"/>
        </w:rPr>
        <w:t xml:space="preserve">Индекс потребительских цен прогнозируется на 2021 - 2023 годы ежегодно в размере 104%.</w:t>
      </w:r>
    </w:p>
    <w:p>
      <w:pPr>
        <w:pStyle w:val="0"/>
        <w:spacing w:before="200" w:line-rule="auto"/>
        <w:ind w:firstLine="540"/>
        <w:jc w:val="both"/>
      </w:pPr>
      <w:r>
        <w:rPr>
          <w:sz w:val="20"/>
        </w:rPr>
        <w:t xml:space="preserve">Снижение показателей социально-экономического развития области повлияло на объем налоговых и неналоговых доходов, прогнозируемый на 2021 - 2023 годы (таблица 5).</w:t>
      </w:r>
    </w:p>
    <w:p>
      <w:pPr>
        <w:pStyle w:val="0"/>
        <w:jc w:val="both"/>
      </w:pPr>
      <w:r>
        <w:rPr>
          <w:sz w:val="20"/>
        </w:rPr>
      </w:r>
    </w:p>
    <w:p>
      <w:pPr>
        <w:pStyle w:val="0"/>
        <w:outlineLvl w:val="2"/>
        <w:jc w:val="right"/>
      </w:pPr>
      <w:r>
        <w:rPr>
          <w:sz w:val="20"/>
        </w:rPr>
        <w:t xml:space="preserve">Таблица 5</w:t>
      </w:r>
    </w:p>
    <w:p>
      <w:pPr>
        <w:pStyle w:val="0"/>
        <w:jc w:val="both"/>
      </w:pPr>
      <w:r>
        <w:rPr>
          <w:sz w:val="20"/>
        </w:rPr>
      </w:r>
    </w:p>
    <w:p>
      <w:pPr>
        <w:pStyle w:val="2"/>
        <w:jc w:val="center"/>
      </w:pPr>
      <w:r>
        <w:rPr>
          <w:sz w:val="20"/>
        </w:rPr>
        <w:t xml:space="preserve">Прогноз</w:t>
      </w:r>
    </w:p>
    <w:p>
      <w:pPr>
        <w:pStyle w:val="2"/>
        <w:jc w:val="center"/>
      </w:pPr>
      <w:r>
        <w:rPr>
          <w:sz w:val="20"/>
        </w:rPr>
        <w:t xml:space="preserve">поступления налоговых и неналоговых доходов</w:t>
      </w:r>
    </w:p>
    <w:p>
      <w:pPr>
        <w:pStyle w:val="2"/>
        <w:jc w:val="center"/>
      </w:pPr>
      <w:r>
        <w:rPr>
          <w:sz w:val="20"/>
        </w:rPr>
        <w:t xml:space="preserve">областного бюджета на 2021 - 2023 годы</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1080"/>
        <w:gridCol w:w="1191"/>
        <w:gridCol w:w="1134"/>
        <w:gridCol w:w="1134"/>
        <w:gridCol w:w="1138"/>
        <w:gridCol w:w="1134"/>
        <w:gridCol w:w="1215"/>
        <w:gridCol w:w="1247"/>
      </w:tblGrid>
      <w:tr>
        <w:tc>
          <w:tcPr>
            <w:tcW w:w="2098" w:type="dxa"/>
          </w:tcPr>
          <w:p>
            <w:pPr>
              <w:pStyle w:val="0"/>
              <w:jc w:val="center"/>
            </w:pPr>
            <w:r>
              <w:rPr>
                <w:sz w:val="20"/>
              </w:rPr>
              <w:t xml:space="preserve">Показатели</w:t>
            </w:r>
          </w:p>
        </w:tc>
        <w:tc>
          <w:tcPr>
            <w:tcW w:w="1080" w:type="dxa"/>
          </w:tcPr>
          <w:p>
            <w:pPr>
              <w:pStyle w:val="0"/>
              <w:jc w:val="center"/>
            </w:pPr>
            <w:r>
              <w:rPr>
                <w:sz w:val="20"/>
              </w:rPr>
              <w:t xml:space="preserve">Ожидаемое исполнение</w:t>
            </w:r>
          </w:p>
          <w:p>
            <w:pPr>
              <w:pStyle w:val="0"/>
              <w:jc w:val="center"/>
            </w:pPr>
            <w:r>
              <w:rPr>
                <w:sz w:val="20"/>
              </w:rPr>
              <w:t xml:space="preserve">2020 год</w:t>
            </w:r>
          </w:p>
        </w:tc>
        <w:tc>
          <w:tcPr>
            <w:tcW w:w="1191" w:type="dxa"/>
          </w:tcPr>
          <w:p>
            <w:pPr>
              <w:pStyle w:val="0"/>
              <w:jc w:val="center"/>
            </w:pPr>
            <w:r>
              <w:rPr>
                <w:sz w:val="20"/>
              </w:rPr>
              <w:t xml:space="preserve">Утвержденный законом области план на 2021 год</w:t>
            </w:r>
          </w:p>
        </w:tc>
        <w:tc>
          <w:tcPr>
            <w:tcW w:w="1134" w:type="dxa"/>
          </w:tcPr>
          <w:p>
            <w:pPr>
              <w:pStyle w:val="0"/>
              <w:jc w:val="center"/>
            </w:pPr>
            <w:r>
              <w:rPr>
                <w:sz w:val="20"/>
              </w:rPr>
              <w:t xml:space="preserve">Уточненный прогноз на 2021 год</w:t>
            </w:r>
          </w:p>
        </w:tc>
        <w:tc>
          <w:tcPr>
            <w:tcW w:w="1134" w:type="dxa"/>
          </w:tcPr>
          <w:p>
            <w:pPr>
              <w:pStyle w:val="0"/>
              <w:jc w:val="center"/>
            </w:pPr>
            <w:r>
              <w:rPr>
                <w:sz w:val="20"/>
              </w:rPr>
              <w:t xml:space="preserve">Отклонение уточненного прогноза от утвержденного законом плана</w:t>
            </w:r>
          </w:p>
        </w:tc>
        <w:tc>
          <w:tcPr>
            <w:tcW w:w="1138" w:type="dxa"/>
          </w:tcPr>
          <w:p>
            <w:pPr>
              <w:pStyle w:val="0"/>
              <w:jc w:val="center"/>
            </w:pPr>
            <w:r>
              <w:rPr>
                <w:sz w:val="20"/>
              </w:rPr>
              <w:t xml:space="preserve">Утвержденный законом области план на 2022 год</w:t>
            </w:r>
          </w:p>
        </w:tc>
        <w:tc>
          <w:tcPr>
            <w:tcW w:w="1134" w:type="dxa"/>
          </w:tcPr>
          <w:p>
            <w:pPr>
              <w:pStyle w:val="0"/>
              <w:jc w:val="center"/>
            </w:pPr>
            <w:r>
              <w:rPr>
                <w:sz w:val="20"/>
              </w:rPr>
              <w:t xml:space="preserve">Уточненный прогноз на 2022 год</w:t>
            </w:r>
          </w:p>
        </w:tc>
        <w:tc>
          <w:tcPr>
            <w:tcW w:w="1215" w:type="dxa"/>
          </w:tcPr>
          <w:p>
            <w:pPr>
              <w:pStyle w:val="0"/>
              <w:jc w:val="center"/>
            </w:pPr>
            <w:r>
              <w:rPr>
                <w:sz w:val="20"/>
              </w:rPr>
              <w:t xml:space="preserve">Отклонение уточненного прогноза от утвержденного законом плана</w:t>
            </w:r>
          </w:p>
        </w:tc>
        <w:tc>
          <w:tcPr>
            <w:tcW w:w="1247" w:type="dxa"/>
          </w:tcPr>
          <w:p>
            <w:pPr>
              <w:pStyle w:val="0"/>
              <w:jc w:val="center"/>
            </w:pPr>
            <w:r>
              <w:rPr>
                <w:sz w:val="20"/>
              </w:rPr>
              <w:t xml:space="preserve">2023 год</w:t>
            </w:r>
          </w:p>
          <w:p>
            <w:pPr>
              <w:pStyle w:val="0"/>
              <w:jc w:val="center"/>
            </w:pPr>
            <w:r>
              <w:rPr>
                <w:sz w:val="20"/>
              </w:rPr>
              <w:t xml:space="preserve">(прогноз)</w:t>
            </w:r>
          </w:p>
        </w:tc>
      </w:tr>
      <w:tr>
        <w:tc>
          <w:tcPr>
            <w:tcW w:w="2098" w:type="dxa"/>
          </w:tcPr>
          <w:p>
            <w:pPr>
              <w:pStyle w:val="0"/>
              <w:jc w:val="center"/>
            </w:pPr>
            <w:r>
              <w:rPr>
                <w:sz w:val="20"/>
              </w:rPr>
              <w:t xml:space="preserve">1</w:t>
            </w:r>
          </w:p>
        </w:tc>
        <w:tc>
          <w:tcPr>
            <w:tcW w:w="1080" w:type="dxa"/>
          </w:tcPr>
          <w:p>
            <w:pPr>
              <w:pStyle w:val="0"/>
              <w:jc w:val="center"/>
            </w:pPr>
            <w:r>
              <w:rPr>
                <w:sz w:val="20"/>
              </w:rPr>
              <w:t xml:space="preserve">2</w:t>
            </w:r>
          </w:p>
        </w:tc>
        <w:tc>
          <w:tcPr>
            <w:tcW w:w="1191" w:type="dxa"/>
          </w:tcPr>
          <w:p>
            <w:pPr>
              <w:pStyle w:val="0"/>
              <w:jc w:val="center"/>
            </w:pPr>
            <w:r>
              <w:rPr>
                <w:sz w:val="20"/>
              </w:rPr>
              <w:t xml:space="preserve">3</w:t>
            </w:r>
          </w:p>
        </w:tc>
        <w:tc>
          <w:tcPr>
            <w:tcW w:w="1134" w:type="dxa"/>
          </w:tcPr>
          <w:p>
            <w:pPr>
              <w:pStyle w:val="0"/>
              <w:jc w:val="center"/>
            </w:pPr>
            <w:r>
              <w:rPr>
                <w:sz w:val="20"/>
              </w:rPr>
              <w:t xml:space="preserve">4</w:t>
            </w:r>
          </w:p>
        </w:tc>
        <w:tc>
          <w:tcPr>
            <w:tcW w:w="1134" w:type="dxa"/>
          </w:tcPr>
          <w:p>
            <w:pPr>
              <w:pStyle w:val="0"/>
              <w:jc w:val="center"/>
            </w:pPr>
            <w:r>
              <w:rPr>
                <w:sz w:val="20"/>
              </w:rPr>
              <w:t xml:space="preserve">5</w:t>
            </w:r>
          </w:p>
        </w:tc>
        <w:tc>
          <w:tcPr>
            <w:tcW w:w="1138" w:type="dxa"/>
          </w:tcPr>
          <w:p>
            <w:pPr>
              <w:pStyle w:val="0"/>
              <w:jc w:val="center"/>
            </w:pPr>
            <w:r>
              <w:rPr>
                <w:sz w:val="20"/>
              </w:rPr>
              <w:t xml:space="preserve">6</w:t>
            </w:r>
          </w:p>
        </w:tc>
        <w:tc>
          <w:tcPr>
            <w:tcW w:w="1134" w:type="dxa"/>
          </w:tcPr>
          <w:p>
            <w:pPr>
              <w:pStyle w:val="0"/>
              <w:jc w:val="center"/>
            </w:pPr>
            <w:r>
              <w:rPr>
                <w:sz w:val="20"/>
              </w:rPr>
              <w:t xml:space="preserve">7</w:t>
            </w:r>
          </w:p>
        </w:tc>
        <w:tc>
          <w:tcPr>
            <w:tcW w:w="1215" w:type="dxa"/>
          </w:tcPr>
          <w:p>
            <w:pPr>
              <w:pStyle w:val="0"/>
              <w:jc w:val="center"/>
            </w:pPr>
            <w:r>
              <w:rPr>
                <w:sz w:val="20"/>
              </w:rPr>
              <w:t xml:space="preserve">8</w:t>
            </w:r>
          </w:p>
        </w:tc>
        <w:tc>
          <w:tcPr>
            <w:tcW w:w="1247" w:type="dxa"/>
          </w:tcPr>
          <w:p>
            <w:pPr>
              <w:pStyle w:val="0"/>
              <w:jc w:val="center"/>
            </w:pPr>
            <w:r>
              <w:rPr>
                <w:sz w:val="20"/>
              </w:rPr>
              <w:t xml:space="preserve">9</w:t>
            </w:r>
          </w:p>
        </w:tc>
      </w:tr>
      <w:tr>
        <w:tc>
          <w:tcPr>
            <w:tcW w:w="2098" w:type="dxa"/>
          </w:tcPr>
          <w:p>
            <w:pPr>
              <w:pStyle w:val="0"/>
            </w:pPr>
            <w:r>
              <w:rPr>
                <w:sz w:val="20"/>
              </w:rPr>
              <w:t xml:space="preserve">Налоговые и неналоговые доходы областного бюджета с учетом доходов дорожного фонда, млн. руб.</w:t>
            </w:r>
          </w:p>
        </w:tc>
        <w:tc>
          <w:tcPr>
            <w:tcW w:w="1080" w:type="dxa"/>
          </w:tcPr>
          <w:p>
            <w:pPr>
              <w:pStyle w:val="0"/>
              <w:jc w:val="center"/>
            </w:pPr>
            <w:r>
              <w:rPr>
                <w:sz w:val="20"/>
              </w:rPr>
              <w:t xml:space="preserve">42962,7</w:t>
            </w:r>
          </w:p>
        </w:tc>
        <w:tc>
          <w:tcPr>
            <w:tcW w:w="1191" w:type="dxa"/>
          </w:tcPr>
          <w:p>
            <w:pPr>
              <w:pStyle w:val="0"/>
              <w:jc w:val="center"/>
            </w:pPr>
            <w:r>
              <w:rPr>
                <w:sz w:val="20"/>
              </w:rPr>
              <w:t xml:space="preserve">48493,8</w:t>
            </w:r>
          </w:p>
        </w:tc>
        <w:tc>
          <w:tcPr>
            <w:tcW w:w="1134" w:type="dxa"/>
          </w:tcPr>
          <w:p>
            <w:pPr>
              <w:pStyle w:val="0"/>
              <w:jc w:val="center"/>
            </w:pPr>
            <w:r>
              <w:rPr>
                <w:sz w:val="20"/>
              </w:rPr>
              <w:t xml:space="preserve">43955,1</w:t>
            </w:r>
          </w:p>
        </w:tc>
        <w:tc>
          <w:tcPr>
            <w:tcW w:w="1134" w:type="dxa"/>
          </w:tcPr>
          <w:p>
            <w:pPr>
              <w:pStyle w:val="0"/>
              <w:jc w:val="center"/>
            </w:pPr>
            <w:r>
              <w:rPr>
                <w:sz w:val="20"/>
              </w:rPr>
              <w:t xml:space="preserve">- 4538,7</w:t>
            </w:r>
          </w:p>
        </w:tc>
        <w:tc>
          <w:tcPr>
            <w:tcW w:w="1138" w:type="dxa"/>
          </w:tcPr>
          <w:p>
            <w:pPr>
              <w:pStyle w:val="0"/>
              <w:jc w:val="center"/>
            </w:pPr>
            <w:r>
              <w:rPr>
                <w:sz w:val="20"/>
              </w:rPr>
              <w:t xml:space="preserve">51886,2</w:t>
            </w:r>
          </w:p>
        </w:tc>
        <w:tc>
          <w:tcPr>
            <w:tcW w:w="1134" w:type="dxa"/>
          </w:tcPr>
          <w:p>
            <w:pPr>
              <w:pStyle w:val="0"/>
              <w:jc w:val="center"/>
            </w:pPr>
            <w:r>
              <w:rPr>
                <w:sz w:val="20"/>
              </w:rPr>
              <w:t xml:space="preserve">47195,5</w:t>
            </w:r>
          </w:p>
        </w:tc>
        <w:tc>
          <w:tcPr>
            <w:tcW w:w="1215" w:type="dxa"/>
          </w:tcPr>
          <w:p>
            <w:pPr>
              <w:pStyle w:val="0"/>
              <w:jc w:val="center"/>
            </w:pPr>
            <w:r>
              <w:rPr>
                <w:sz w:val="20"/>
              </w:rPr>
              <w:t xml:space="preserve">- 4690,7</w:t>
            </w:r>
          </w:p>
        </w:tc>
        <w:tc>
          <w:tcPr>
            <w:tcW w:w="1247" w:type="dxa"/>
          </w:tcPr>
          <w:p>
            <w:pPr>
              <w:pStyle w:val="0"/>
              <w:jc w:val="center"/>
            </w:pPr>
            <w:r>
              <w:rPr>
                <w:sz w:val="20"/>
              </w:rPr>
              <w:t xml:space="preserve">49358,4</w:t>
            </w:r>
          </w:p>
        </w:tc>
      </w:tr>
      <w:tr>
        <w:tc>
          <w:tcPr>
            <w:tcW w:w="2098" w:type="dxa"/>
          </w:tcPr>
          <w:p>
            <w:pPr>
              <w:pStyle w:val="0"/>
            </w:pPr>
            <w:r>
              <w:rPr>
                <w:sz w:val="20"/>
              </w:rPr>
              <w:t xml:space="preserve">Доходы дорожного фонда, млн. руб.</w:t>
            </w:r>
          </w:p>
        </w:tc>
        <w:tc>
          <w:tcPr>
            <w:tcW w:w="1080" w:type="dxa"/>
          </w:tcPr>
          <w:p>
            <w:pPr>
              <w:pStyle w:val="0"/>
              <w:jc w:val="center"/>
            </w:pPr>
            <w:r>
              <w:rPr>
                <w:sz w:val="20"/>
              </w:rPr>
              <w:t xml:space="preserve">5265,4</w:t>
            </w:r>
          </w:p>
        </w:tc>
        <w:tc>
          <w:tcPr>
            <w:tcW w:w="1191" w:type="dxa"/>
          </w:tcPr>
          <w:p>
            <w:pPr>
              <w:pStyle w:val="0"/>
              <w:jc w:val="center"/>
            </w:pPr>
            <w:r>
              <w:rPr>
                <w:sz w:val="20"/>
              </w:rPr>
              <w:t xml:space="preserve">5650,9</w:t>
            </w:r>
          </w:p>
        </w:tc>
        <w:tc>
          <w:tcPr>
            <w:tcW w:w="1134" w:type="dxa"/>
          </w:tcPr>
          <w:p>
            <w:pPr>
              <w:pStyle w:val="0"/>
              <w:jc w:val="center"/>
            </w:pPr>
            <w:r>
              <w:rPr>
                <w:sz w:val="20"/>
              </w:rPr>
              <w:t xml:space="preserve">5560,9</w:t>
            </w:r>
          </w:p>
        </w:tc>
        <w:tc>
          <w:tcPr>
            <w:tcW w:w="1134" w:type="dxa"/>
          </w:tcPr>
          <w:p>
            <w:pPr>
              <w:pStyle w:val="0"/>
              <w:jc w:val="center"/>
            </w:pPr>
            <w:r>
              <w:rPr>
                <w:sz w:val="20"/>
              </w:rPr>
              <w:t xml:space="preserve">- 90,0</w:t>
            </w:r>
          </w:p>
        </w:tc>
        <w:tc>
          <w:tcPr>
            <w:tcW w:w="1138" w:type="dxa"/>
          </w:tcPr>
          <w:p>
            <w:pPr>
              <w:pStyle w:val="0"/>
              <w:jc w:val="center"/>
            </w:pPr>
            <w:r>
              <w:rPr>
                <w:sz w:val="20"/>
              </w:rPr>
              <w:t xml:space="preserve">6796,4</w:t>
            </w:r>
          </w:p>
        </w:tc>
        <w:tc>
          <w:tcPr>
            <w:tcW w:w="1134" w:type="dxa"/>
          </w:tcPr>
          <w:p>
            <w:pPr>
              <w:pStyle w:val="0"/>
              <w:jc w:val="center"/>
            </w:pPr>
            <w:r>
              <w:rPr>
                <w:sz w:val="20"/>
              </w:rPr>
              <w:t xml:space="preserve">6715,0</w:t>
            </w:r>
          </w:p>
        </w:tc>
        <w:tc>
          <w:tcPr>
            <w:tcW w:w="1215" w:type="dxa"/>
          </w:tcPr>
          <w:p>
            <w:pPr>
              <w:pStyle w:val="0"/>
              <w:jc w:val="center"/>
            </w:pPr>
            <w:r>
              <w:rPr>
                <w:sz w:val="20"/>
              </w:rPr>
              <w:t xml:space="preserve">- 81,4</w:t>
            </w:r>
          </w:p>
        </w:tc>
        <w:tc>
          <w:tcPr>
            <w:tcW w:w="1247" w:type="dxa"/>
          </w:tcPr>
          <w:p>
            <w:pPr>
              <w:pStyle w:val="0"/>
              <w:jc w:val="center"/>
            </w:pPr>
            <w:r>
              <w:rPr>
                <w:sz w:val="20"/>
              </w:rPr>
              <w:t xml:space="preserve">6945,9</w:t>
            </w:r>
          </w:p>
        </w:tc>
      </w:tr>
      <w:tr>
        <w:tc>
          <w:tcPr>
            <w:tcW w:w="2098" w:type="dxa"/>
          </w:tcPr>
          <w:p>
            <w:pPr>
              <w:pStyle w:val="0"/>
            </w:pPr>
            <w:r>
              <w:rPr>
                <w:sz w:val="20"/>
              </w:rPr>
              <w:t xml:space="preserve">Налоговые и неналоговые доходы областного бюджета без учета доходов дорожного фонда, млн. руб.</w:t>
            </w:r>
          </w:p>
        </w:tc>
        <w:tc>
          <w:tcPr>
            <w:tcW w:w="1080" w:type="dxa"/>
          </w:tcPr>
          <w:p>
            <w:pPr>
              <w:pStyle w:val="0"/>
              <w:jc w:val="center"/>
            </w:pPr>
            <w:r>
              <w:rPr>
                <w:sz w:val="20"/>
              </w:rPr>
              <w:t xml:space="preserve">37697,3</w:t>
            </w:r>
          </w:p>
        </w:tc>
        <w:tc>
          <w:tcPr>
            <w:tcW w:w="1191" w:type="dxa"/>
          </w:tcPr>
          <w:p>
            <w:pPr>
              <w:pStyle w:val="0"/>
              <w:jc w:val="center"/>
            </w:pPr>
            <w:r>
              <w:rPr>
                <w:sz w:val="20"/>
              </w:rPr>
              <w:t xml:space="preserve">42842,9</w:t>
            </w:r>
          </w:p>
        </w:tc>
        <w:tc>
          <w:tcPr>
            <w:tcW w:w="1134" w:type="dxa"/>
          </w:tcPr>
          <w:p>
            <w:pPr>
              <w:pStyle w:val="0"/>
              <w:jc w:val="center"/>
            </w:pPr>
            <w:r>
              <w:rPr>
                <w:sz w:val="20"/>
              </w:rPr>
              <w:t xml:space="preserve">38394,2</w:t>
            </w:r>
          </w:p>
        </w:tc>
        <w:tc>
          <w:tcPr>
            <w:tcW w:w="1134" w:type="dxa"/>
          </w:tcPr>
          <w:p>
            <w:pPr>
              <w:pStyle w:val="0"/>
              <w:jc w:val="center"/>
            </w:pPr>
            <w:r>
              <w:rPr>
                <w:sz w:val="20"/>
              </w:rPr>
              <w:t xml:space="preserve">- 4448,7</w:t>
            </w:r>
          </w:p>
        </w:tc>
        <w:tc>
          <w:tcPr>
            <w:tcW w:w="1138" w:type="dxa"/>
          </w:tcPr>
          <w:p>
            <w:pPr>
              <w:pStyle w:val="0"/>
              <w:jc w:val="center"/>
            </w:pPr>
            <w:r>
              <w:rPr>
                <w:sz w:val="20"/>
              </w:rPr>
              <w:t xml:space="preserve">45089,8</w:t>
            </w:r>
          </w:p>
        </w:tc>
        <w:tc>
          <w:tcPr>
            <w:tcW w:w="1134" w:type="dxa"/>
          </w:tcPr>
          <w:p>
            <w:pPr>
              <w:pStyle w:val="0"/>
              <w:jc w:val="center"/>
            </w:pPr>
            <w:r>
              <w:rPr>
                <w:sz w:val="20"/>
              </w:rPr>
              <w:t xml:space="preserve">40480,5</w:t>
            </w:r>
          </w:p>
        </w:tc>
        <w:tc>
          <w:tcPr>
            <w:tcW w:w="1215" w:type="dxa"/>
          </w:tcPr>
          <w:p>
            <w:pPr>
              <w:pStyle w:val="0"/>
              <w:jc w:val="center"/>
            </w:pPr>
            <w:r>
              <w:rPr>
                <w:sz w:val="20"/>
              </w:rPr>
              <w:t xml:space="preserve">- 4609,3</w:t>
            </w:r>
          </w:p>
        </w:tc>
        <w:tc>
          <w:tcPr>
            <w:tcW w:w="1247" w:type="dxa"/>
          </w:tcPr>
          <w:p>
            <w:pPr>
              <w:pStyle w:val="0"/>
              <w:jc w:val="center"/>
            </w:pPr>
            <w:r>
              <w:rPr>
                <w:sz w:val="20"/>
              </w:rPr>
              <w:t xml:space="preserve">42412,5</w:t>
            </w:r>
          </w:p>
        </w:tc>
      </w:tr>
    </w:tbl>
    <w:p>
      <w:pPr>
        <w:sectPr>
          <w:headerReference w:type="default" r:id="rId45"/>
          <w:headerReference w:type="first" r:id="rId45"/>
          <w:footerReference w:type="default" r:id="rId46"/>
          <w:footerReference w:type="first" r:id="rId46"/>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Налоговые и неналоговые доходы областного бюджета на 2021 - 2023 годы сформированы главными администраторами доходов в соответствии с общими </w:t>
      </w:r>
      <w:hyperlink w:history="0" r:id="rId47" w:tooltip="Постановление Правительства РФ от 23.06.2016 N 574 (ред. от 14.09.2021) &quot;Об общих требованиях к методике прогнозирования поступлений доходов в бюджеты бюджетной системы Российской Федерации&quot; ------------ Недействующая редакция {КонсультантПлюс}">
        <w:r>
          <w:rPr>
            <w:sz w:val="20"/>
            <w:color w:val="0000ff"/>
          </w:rPr>
          <w:t xml:space="preserve">требованиями</w:t>
        </w:r>
      </w:hyperlink>
      <w:r>
        <w:rPr>
          <w:sz w:val="20"/>
        </w:rPr>
        <w:t xml:space="preserve"> к методике прогнозирования поступлений доходов, утвержденными постановлением Правительства Российской Федерации от 23 июня 2016 г. N 574 "Об общих требованиях к методике прогнозирования поступлений доходов в бюджеты бюджетной системы Российской Федерации".</w:t>
      </w:r>
    </w:p>
    <w:p>
      <w:pPr>
        <w:pStyle w:val="0"/>
        <w:spacing w:before="200" w:line-rule="auto"/>
        <w:ind w:firstLine="540"/>
        <w:jc w:val="both"/>
      </w:pPr>
      <w:r>
        <w:rPr>
          <w:sz w:val="20"/>
        </w:rPr>
        <w:t xml:space="preserve">Поступления налоговых и неналоговых доходов областного бюджета с учетом доходов дорожного фонда в 2021 году составят 43955,1 млн. рублей (102,3% к оценке 2020 года). Без учета доходов дорожного фонда поступления налоговых и неналоговых доходов составят в 2021 году 38394,2 млн. рублей, или 101,8% к уровню 2020 года.</w:t>
      </w:r>
    </w:p>
    <w:p>
      <w:pPr>
        <w:pStyle w:val="0"/>
        <w:spacing w:before="200" w:line-rule="auto"/>
        <w:ind w:firstLine="540"/>
        <w:jc w:val="both"/>
      </w:pPr>
      <w:r>
        <w:rPr>
          <w:sz w:val="20"/>
        </w:rPr>
        <w:t xml:space="preserve">Общий объем налоговых и неналоговых доходов на 2021 год сократился на 4538,7 млн. рублей по сравнению с параметрами, утвержденными </w:t>
      </w:r>
      <w:hyperlink w:history="0" r:id="rId48" w:tooltip="Закон Владимирской области от 25.12.2019 N 136-ОЗ (ред. от 30.03.2020) &quot;Об областном бюджете на 2020 год и на плановый период 2021 и 2022 годов&quot; (принят постановлением ЗС Владимирской области от 18.12.2019 N 401) {КонсультантПлюс}">
        <w:r>
          <w:rPr>
            <w:sz w:val="20"/>
            <w:color w:val="0000ff"/>
          </w:rPr>
          <w:t xml:space="preserve">Законом</w:t>
        </w:r>
      </w:hyperlink>
      <w:r>
        <w:rPr>
          <w:sz w:val="20"/>
        </w:rPr>
        <w:t xml:space="preserve"> области от 25 декабря 2019 г. N 136-ОЗ "Об областном бюджете на 2020 год и на плановый период 2021 и 2022 годов".</w:t>
      </w:r>
    </w:p>
    <w:p>
      <w:pPr>
        <w:pStyle w:val="0"/>
        <w:spacing w:before="200" w:line-rule="auto"/>
        <w:ind w:firstLine="540"/>
        <w:jc w:val="both"/>
      </w:pPr>
      <w:r>
        <w:rPr>
          <w:sz w:val="20"/>
        </w:rPr>
        <w:t xml:space="preserve">На 2022 год прогнозируемый объем налоговых и неналоговых доходов составит 47195,5 млн. рублей (107,4% к 2021 году), на 2023 год - 49358,4 млн. рублей (104,6% к 2022 году).</w:t>
      </w:r>
    </w:p>
    <w:p>
      <w:pPr>
        <w:pStyle w:val="0"/>
        <w:spacing w:before="200" w:line-rule="auto"/>
        <w:ind w:firstLine="540"/>
        <w:jc w:val="both"/>
      </w:pPr>
      <w:r>
        <w:rPr>
          <w:sz w:val="20"/>
        </w:rPr>
        <w:t xml:space="preserve">Налоговые и неналоговые доходы дорожного фонда области в 2021 году составят 5560,9 млн. рублей, или 105,6% к уровню 2020 года, в 2022 году - 6715 млн. рублей (120,8%), в 2023 году - 6945,9 млн. рублей (103,4% к 2022 году).</w:t>
      </w:r>
    </w:p>
    <w:p>
      <w:pPr>
        <w:pStyle w:val="0"/>
        <w:spacing w:before="200" w:line-rule="auto"/>
        <w:ind w:firstLine="540"/>
        <w:jc w:val="both"/>
      </w:pPr>
      <w:r>
        <w:rPr>
          <w:sz w:val="20"/>
        </w:rPr>
        <w:t xml:space="preserve">Параметры налоговых и неналоговых доходов областного бюджета могут быть изменены в случае уточнения показателей социально-экономического развития области и внесения изменений в налоговое и бюджетное законодательство.</w:t>
      </w:r>
    </w:p>
    <w:p>
      <w:pPr>
        <w:pStyle w:val="0"/>
        <w:spacing w:before="200" w:line-rule="auto"/>
        <w:ind w:firstLine="540"/>
        <w:jc w:val="both"/>
      </w:pPr>
      <w:r>
        <w:rPr>
          <w:sz w:val="20"/>
        </w:rPr>
        <w:t xml:space="preserve">Налоговые и неналоговые доходы консолидированного бюджета области оценочно составят в 2021 году 56626,5 млн. рублей (106,2% к 2020 году), в 2022 году - 60492,3 млн. рублей (106,8% к 2021 году), в 2023 году - 63267,3 млн. рублей (104,6% к 2022 году).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07.07.2020 N 523-р</w:t>
      </w:r>
    </w:p>
    <w:p>
      <w:pPr>
        <w:pStyle w:val="0"/>
        <w:jc w:val="both"/>
      </w:pPr>
      <w:r>
        <w:rPr>
          <w:sz w:val="20"/>
        </w:rPr>
      </w:r>
    </w:p>
    <w:bookmarkStart w:id="482" w:name="P482"/>
    <w:bookmarkEnd w:id="482"/>
    <w:p>
      <w:pPr>
        <w:pStyle w:val="2"/>
        <w:jc w:val="center"/>
      </w:pPr>
      <w:r>
        <w:rPr>
          <w:sz w:val="20"/>
        </w:rPr>
        <w:t xml:space="preserve">ОСНОВНЫЕ НАПРАВЛЕНИЯ</w:t>
      </w:r>
    </w:p>
    <w:p>
      <w:pPr>
        <w:pStyle w:val="2"/>
        <w:jc w:val="center"/>
      </w:pPr>
      <w:r>
        <w:rPr>
          <w:sz w:val="20"/>
        </w:rPr>
        <w:t xml:space="preserve">БЮДЖЕТНОЙ ПОЛИТИКИ ВЛАДИМИРСКОЙ ОБЛАСТИ НА 2021 ГОД</w:t>
      </w:r>
    </w:p>
    <w:p>
      <w:pPr>
        <w:pStyle w:val="2"/>
        <w:jc w:val="center"/>
      </w:pPr>
      <w:r>
        <w:rPr>
          <w:sz w:val="20"/>
        </w:rPr>
        <w:t xml:space="preserve">И НА ПЛАНОВЫЙ ПЕРИОД 2022 И 2023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9" w:tooltip="Распоряжение администрации Владимирской обл. от 17.08.2020 N 664-р &quot;О внесении изменения в распоряжение администрации области от 07.07.2020 N 523-р&quot; {КонсультантПлюс}">
              <w:r>
                <w:rPr>
                  <w:sz w:val="20"/>
                  <w:color w:val="0000ff"/>
                </w:rPr>
                <w:t xml:space="preserve">распоряжения</w:t>
              </w:r>
            </w:hyperlink>
            <w:r>
              <w:rPr>
                <w:sz w:val="20"/>
                <w:color w:val="392c69"/>
              </w:rPr>
              <w:t xml:space="preserve"> администрации Владимирской области</w:t>
            </w:r>
          </w:p>
          <w:p>
            <w:pPr>
              <w:pStyle w:val="0"/>
              <w:jc w:val="center"/>
            </w:pPr>
            <w:r>
              <w:rPr>
                <w:sz w:val="20"/>
                <w:color w:val="392c69"/>
              </w:rPr>
              <w:t xml:space="preserve">от 17.08.2020 N 664-р)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Основные направления бюджетной политики Владимирской области на 2021 год и на плановый период 2022 и 2023 годов (далее - бюджетная политика на 2021 - 2023 годы) разработаны в соответствии со </w:t>
      </w:r>
      <w:hyperlink w:history="0" r:id="rId50" w:tooltip="&quot;Бюджетный кодекс Российской Федерации&quot; от 31.07.1998 N 145-ФЗ (ред. от 14.07.2022) ------------ Недействующая редакция {КонсультантПлюс}">
        <w:r>
          <w:rPr>
            <w:sz w:val="20"/>
            <w:color w:val="0000ff"/>
          </w:rPr>
          <w:t xml:space="preserve">статьей 172</w:t>
        </w:r>
      </w:hyperlink>
      <w:r>
        <w:rPr>
          <w:sz w:val="20"/>
        </w:rPr>
        <w:t xml:space="preserve"> Бюджетного кодекса Российской Федерации. При подготовке Основных направлений бюджетной политики учтены положения </w:t>
      </w:r>
      <w:hyperlink w:history="0" r:id="rId51"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Послания Президента Российской Федерации Федеральному Собранию Российской Федерации от 15 января 2020 года и поручения Президента Российской Федерации от 2 апреля 2020 г. N Пр-612 в части принятия мер по преодолению экономических последствий, вызванных распространением новой коронавирусной инфекции на территории Российской Федерации, в том числе по устойчивости и сбалансированности бюджетов субъектов Российской Федерации.</w:t>
      </w:r>
    </w:p>
    <w:p>
      <w:pPr>
        <w:pStyle w:val="0"/>
        <w:jc w:val="both"/>
      </w:pPr>
      <w:r>
        <w:rPr>
          <w:sz w:val="20"/>
        </w:rPr>
      </w:r>
    </w:p>
    <w:p>
      <w:pPr>
        <w:pStyle w:val="2"/>
        <w:outlineLvl w:val="1"/>
        <w:jc w:val="center"/>
      </w:pPr>
      <w:r>
        <w:rPr>
          <w:sz w:val="20"/>
        </w:rPr>
        <w:t xml:space="preserve">1. Основные цели и задачи бюджетной политики</w:t>
      </w:r>
    </w:p>
    <w:p>
      <w:pPr>
        <w:pStyle w:val="2"/>
        <w:jc w:val="center"/>
      </w:pPr>
      <w:r>
        <w:rPr>
          <w:sz w:val="20"/>
        </w:rPr>
        <w:t xml:space="preserve">на 2021 - 2023 годы</w:t>
      </w:r>
    </w:p>
    <w:p>
      <w:pPr>
        <w:pStyle w:val="0"/>
        <w:jc w:val="both"/>
      </w:pPr>
      <w:r>
        <w:rPr>
          <w:sz w:val="20"/>
        </w:rPr>
      </w:r>
    </w:p>
    <w:p>
      <w:pPr>
        <w:pStyle w:val="0"/>
        <w:ind w:firstLine="540"/>
        <w:jc w:val="both"/>
      </w:pPr>
      <w:r>
        <w:rPr>
          <w:sz w:val="20"/>
        </w:rPr>
        <w:t xml:space="preserve">Целью бюджетной политики является определение условий, используемых при составлении проекта областного бюджета на 2021 год и на плановый период 2022 и 2023 годов, подходов к его формированию, основных характеристик областного бюджета на 2021 - 2023 годы.</w:t>
      </w:r>
    </w:p>
    <w:p>
      <w:pPr>
        <w:pStyle w:val="0"/>
        <w:spacing w:before="200" w:line-rule="auto"/>
        <w:ind w:firstLine="540"/>
        <w:jc w:val="both"/>
      </w:pPr>
      <w:r>
        <w:rPr>
          <w:sz w:val="20"/>
        </w:rPr>
        <w:t xml:space="preserve">Бюджетная политика реализуется через исполнение действующих расходных обязательств региона, возникших в результате принятых областных законов и (или) иных нормативных правовых актов при осуществлении органами государственной власти области полномочий по предметам ведения субъектов Российской Федерации и по предметам совместного ведения, указанных в </w:t>
      </w:r>
      <w:hyperlink w:history="0" r:id="rId52"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пунктах 2</w:t>
        </w:r>
      </w:hyperlink>
      <w:r>
        <w:rPr>
          <w:sz w:val="20"/>
        </w:rPr>
        <w:t xml:space="preserve"> и </w:t>
      </w:r>
      <w:hyperlink w:history="0" r:id="rId53"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5 статьи 26.3</w:t>
        </w:r>
      </w:hyperlink>
      <w:r>
        <w:rPr>
          <w:sz w:val="20"/>
        </w:rPr>
        <w:t xml:space="preserve"> 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Объем расходных обязательств ограничен возможностями региональной экономики и уровнем доходов сектора домашних хозяйств. Кроме того, Владимирская область участвует в реструктуризации бюджетных кредитов из федерального бюджета, следовательно, планирование основных параметров областного бюджета должно осуществляться с учетом соблюдения целевых показателей по объему дефицита и уровню государственного долга, установленных соглашениями с Минфином России в данной сфере, утвержденными </w:t>
      </w:r>
      <w:hyperlink w:history="0" r:id="rId54" w:tooltip="Закон Владимирской области от 13.03.2019 N 15-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8.02.2019 N 46) {КонсультантПлюс}">
        <w:r>
          <w:rPr>
            <w:sz w:val="20"/>
            <w:color w:val="0000ff"/>
          </w:rPr>
          <w:t xml:space="preserve">Законом</w:t>
        </w:r>
      </w:hyperlink>
      <w:r>
        <w:rPr>
          <w:sz w:val="20"/>
        </w:rPr>
        <w:t xml:space="preserve"> области от 13 марта 2019 г. N 15-ОЗ "Об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w:t>
      </w:r>
    </w:p>
    <w:p>
      <w:pPr>
        <w:pStyle w:val="0"/>
        <w:spacing w:before="200" w:line-rule="auto"/>
        <w:ind w:firstLine="540"/>
        <w:jc w:val="both"/>
      </w:pPr>
      <w:r>
        <w:rPr>
          <w:sz w:val="20"/>
        </w:rPr>
        <w:t xml:space="preserve">Начиная с 2019 года, наряду с ежегодным ростом социальных обязательств, включая повышение оплаты труда работников бюджетной сферы, увеличение МРОТ, индексацию социальных выплат гражданам, рост тарифа страхового взноса на обязательное медицинское страхование неработающего населения, дополнительных бюджетных ресурсов потребовала реализация региональных составляющих национальных проектов. В текущем году меры по ограничению распространения новой коронавирусной инфекции на территории Российской Федерации привели к снижению деловой активности и, как следствие, к снижению налоговых и неналоговых доходов в бюджеты всех уровней, в том числе в областной бюджет. При этом уровень недополученных доходов бюджета будет зависеть от продолжительности карантинных мер, объема принимаемых мер государственной поддержки и их влияния на структуру отраслей экономики, длительности цикла восстановления деятельности пострадавших хозяйствующих субъектов.</w:t>
      </w:r>
    </w:p>
    <w:p>
      <w:pPr>
        <w:pStyle w:val="0"/>
        <w:spacing w:before="200" w:line-rule="auto"/>
        <w:ind w:firstLine="540"/>
        <w:jc w:val="both"/>
      </w:pPr>
      <w:r>
        <w:rPr>
          <w:sz w:val="20"/>
        </w:rPr>
        <w:t xml:space="preserve">В таких достаточно сложных экономических условиях основной задачей бюджетной политики является обеспечение сбалансированности областного бюджета, включая следующие направления:</w:t>
      </w:r>
    </w:p>
    <w:p>
      <w:pPr>
        <w:pStyle w:val="0"/>
        <w:spacing w:before="200" w:line-rule="auto"/>
        <w:ind w:firstLine="540"/>
        <w:jc w:val="both"/>
      </w:pPr>
      <w:r>
        <w:rPr>
          <w:sz w:val="20"/>
        </w:rPr>
        <w:t xml:space="preserve">1) осуществление расходов на исполнение действующих расходных обязательств области исходя из возможностей доходов областного бюджета и источников финансирования дефицита бюджета, ограниченных условиями реструктуризации бюджетных кредитов из федерального бюджета, утвержденных </w:t>
      </w:r>
      <w:hyperlink w:history="0" r:id="rId55" w:tooltip="Закон Владимирской области от 13.03.2019 N 15-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8.02.2019 N 46) {КонсультантПлюс}">
        <w:r>
          <w:rPr>
            <w:sz w:val="20"/>
            <w:color w:val="0000ff"/>
          </w:rPr>
          <w:t xml:space="preserve">Законом</w:t>
        </w:r>
      </w:hyperlink>
      <w:r>
        <w:rPr>
          <w:sz w:val="20"/>
        </w:rPr>
        <w:t xml:space="preserve"> области от 13 марта 2019 г. N 15-ОЗ;</w:t>
      </w:r>
    </w:p>
    <w:p>
      <w:pPr>
        <w:pStyle w:val="0"/>
        <w:spacing w:before="200" w:line-rule="auto"/>
        <w:ind w:firstLine="540"/>
        <w:jc w:val="both"/>
      </w:pPr>
      <w:r>
        <w:rPr>
          <w:sz w:val="20"/>
        </w:rPr>
        <w:t xml:space="preserve">2) сохранение в 2021 - 2023 годах достигнутого соотношения между уровнем оплаты труда отдельных категорий работников бюджетной сферы и уровнем среднемесячного дохода от трудовой деятельности во Владимирской области;</w:t>
      </w:r>
    </w:p>
    <w:p>
      <w:pPr>
        <w:pStyle w:val="0"/>
        <w:spacing w:before="200" w:line-rule="auto"/>
        <w:ind w:firstLine="540"/>
        <w:jc w:val="both"/>
      </w:pPr>
      <w:r>
        <w:rPr>
          <w:sz w:val="20"/>
        </w:rPr>
        <w:t xml:space="preserve">3) планирование в полном объеме расходов на социальные выплаты с учетом изменения численности их получателей и критериев нуждаемости, а также в целях роста доходов граждан индексация размеров социальных пособий на уровень не ниже инфляции;</w:t>
      </w:r>
    </w:p>
    <w:p>
      <w:pPr>
        <w:pStyle w:val="0"/>
        <w:spacing w:before="200" w:line-rule="auto"/>
        <w:ind w:firstLine="540"/>
        <w:jc w:val="both"/>
      </w:pPr>
      <w:r>
        <w:rPr>
          <w:sz w:val="20"/>
        </w:rPr>
        <w:t xml:space="preserve">4) ограничение роста расходов на содержание органов государственной власти области;</w:t>
      </w:r>
    </w:p>
    <w:p>
      <w:pPr>
        <w:pStyle w:val="0"/>
        <w:spacing w:before="200" w:line-rule="auto"/>
        <w:ind w:firstLine="540"/>
        <w:jc w:val="both"/>
      </w:pPr>
      <w:r>
        <w:rPr>
          <w:sz w:val="20"/>
        </w:rPr>
        <w:t xml:space="preserve">5) принятие новых расходных обязательств области исключительно при наличии дополнительных доходов областного бюджета;</w:t>
      </w:r>
    </w:p>
    <w:p>
      <w:pPr>
        <w:pStyle w:val="0"/>
        <w:spacing w:before="200" w:line-rule="auto"/>
        <w:ind w:firstLine="540"/>
        <w:jc w:val="both"/>
      </w:pPr>
      <w:r>
        <w:rPr>
          <w:sz w:val="20"/>
        </w:rPr>
        <w:t xml:space="preserve">6) привлечение дополнительных межбюджетных трансфертов из федерального бюджета в областной бюджет. Объем межбюджетных трансфертов утвержден региону в федеральном бюджете ниже ожидаемого исполнения текущего года: на 2021 год - на 3,7%, на 2022 год - на 23%, в том числе в сферах: здравоохранения - на 35% и 50% соответственно, природопользования и охраны окружающей среды - на 63% и 72%, сельского хозяйства - на 13% и 19%, лесного хозяйства - на 13,6% и 10,4%. Учитывая, что на данном этапе формирования бюджетных проектировок федеральные межбюджетные трансферты включаются в доходы областного бюджета в суммах, утвержденных в федеральном бюджете на 2020 - 2022 годы, при рассмотрении проекта федерального бюджета на 2021 - 2023 годы объем финансовой помощи региону должен быть приведен в соответствие с данным проектом. В случае увеличения объема федеральных целевых средств будет снижен дефицит областного бюджета, что позволит улучшить сбалансированность бюджета. С этой целью областным органам исполнительной власти необходимо обеспечить привлечение дополнительных целевых средств из федерального бюджета в областной бюджет. Эту задачу позволит решить созданный в областном бюджете резерв средств в сумме 100 млн. рублей ежегодно.</w:t>
      </w:r>
    </w:p>
    <w:p>
      <w:pPr>
        <w:pStyle w:val="0"/>
        <w:spacing w:before="200" w:line-rule="auto"/>
        <w:ind w:firstLine="540"/>
        <w:jc w:val="both"/>
      </w:pPr>
      <w:r>
        <w:rPr>
          <w:sz w:val="20"/>
        </w:rPr>
        <w:t xml:space="preserve">В условиях ограниченности бюджетных ресурсов возрастает актуальность реализации мер по повышению эффективности использования бюджетных средств.</w:t>
      </w:r>
    </w:p>
    <w:p>
      <w:pPr>
        <w:pStyle w:val="0"/>
        <w:spacing w:before="200" w:line-rule="auto"/>
        <w:ind w:firstLine="540"/>
        <w:jc w:val="both"/>
      </w:pPr>
      <w:r>
        <w:rPr>
          <w:sz w:val="20"/>
        </w:rPr>
        <w:t xml:space="preserve">Эффективное управление расходами должно быть обеспечено посредством реализации государственных программ, построенных на проектных принципах управления. Несмотря на сложную экономическую ситуацию текущего года, возникшую в результате пандемии коронавируса, ориентиры по национальным проектам должны остаться неизменными. Вместе с тем, в трехлетнем периоде, исходя из объемов федеральной финансовой помощи, руководителям региональных составляющих национальных проектов предстоит уточнить параметры, сроки и приоритеты национальных проектов, погрузить, интегрировать в них меры, принятые на областном уровне в рамках общенационального плана действий по восстановлению экономики. На эти цели следует направить дополнительные бюджетные ассигнования, высвобождаемые в 2021 - 2023 годах в результате снижения объема погашения задолженности по бюджетным кредитам в федеральный бюджет в рамках их реструктуризации в текущем году. Необходимо увеличить долю эффективных расходов на здравоохранение и образование, в том числе за счет привлечения дополнительных средств из федерального бюджета. С учетом интеграции национальных проектов государственные программы должны стать простым и эффективным инструментом организации как проектной, так и текущей деятельности государственных органов, отражающим взаимосвязь затраченных ресурсов и полученных результатов. Финансовое обеспечение участия области в реализации национальных проектов в рамках </w:t>
      </w:r>
      <w:hyperlink w:history="0" r:id="rId56"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предусмотрено в объемах, утвержденных </w:t>
      </w:r>
      <w:hyperlink w:history="0" r:id="rId57" w:tooltip="Распоряжение Правительства РФ от 18.10.2019 N 2468-р (ред. от 02.09.2021) &lt;Об утверждении предельного уровня софинансирования расходного обязательства субъекта РФ, г. Байконура и федеральной территории &quot;Сириус&quot; из федерального бюджета по субъектам РФ и г. Байконуру на 2020 - 2024 годы в отношении субсидий, предоставляемых в целях софинансирования расходных обязательств субъектов РФ, г. Байконура и федеральной территории &quot;Сириус&quot;, возникших при реализации региональных проектов, направленных на реализацию фед ------------ Недействующая редакция {КонсультантПлюс}">
        <w:r>
          <w:rPr>
            <w:sz w:val="20"/>
            <w:color w:val="0000ff"/>
          </w:rPr>
          <w:t xml:space="preserve">распоряжением</w:t>
        </w:r>
      </w:hyperlink>
      <w:r>
        <w:rPr>
          <w:sz w:val="20"/>
        </w:rPr>
        <w:t xml:space="preserve"> Правительства Российской Федерации от 18 октября 2019 г. N 2468-р (2% от стоимости расходного обязательства, исполняемого в рамках национальных проектов, реализуемого с 2019 года) и </w:t>
      </w:r>
      <w:hyperlink w:history="0" r:id="rId58" w:tooltip="Распоряжение Правительства РФ от 17.07.2019 N 1553-р (ред. от 19.06.2020) &lt;Об утверждении предельного уровня софинансирования расходного обязательства субъекта Российской Федерации и г. Байконура в соответствии с Правилами, утв. Постановлением Правительства РФ от 30.09.2014 N 999, на 2020 год&gt; ------------ Утратил силу или отменен {КонсультантПлюс}">
        <w:r>
          <w:rPr>
            <w:sz w:val="20"/>
            <w:color w:val="0000ff"/>
          </w:rPr>
          <w:t xml:space="preserve">распоряжением</w:t>
        </w:r>
      </w:hyperlink>
      <w:r>
        <w:rPr>
          <w:sz w:val="20"/>
        </w:rPr>
        <w:t xml:space="preserve"> Правительства Российской Федерации 17 июля 2019 г. N 1553-р (11% в 2021 - 2022 годах и 12% в 2023 году по проектам, реализация которых началась до 2019 года).</w:t>
      </w:r>
    </w:p>
    <w:p>
      <w:pPr>
        <w:pStyle w:val="0"/>
        <w:spacing w:before="200" w:line-rule="auto"/>
        <w:ind w:firstLine="540"/>
        <w:jc w:val="both"/>
      </w:pPr>
      <w:r>
        <w:rPr>
          <w:sz w:val="20"/>
        </w:rPr>
        <w:t xml:space="preserve">Учитывая высокую социально-экономическую значимость национальных проектов для развития области, основное внимание в 2021 - 2023 годах будет сосредоточено на повышении качества управления региональными проектами, обеспечении надлежащего контроля за своевременностью и полнотой достижения заявленных результатов, ритмичности исполнения расходов областного бюджета. С этой целью соглашения о предоставлении субсидий и иных межбюджетных трансфертов местным бюджетам на 2021 - 2023 годы должны быть заключены органами исполнительной власти с местными администрациями до 1 февраля 2021 года. Органы исполнительной власти области должны обеспечить заключение подведомственными государственными учреждениями договоров (контрактов) на поставки товаров, выполнение работ, оказание услуг для государственных нужд области, исполнение которых осуществляется в целях реализации национальных проектов, не позднее 1 марта 2021 года. На основании бюджетного законодательства должны быть усилены меры персональной ответственности руководителей региональных проектов за недостижение установленных результатов.</w:t>
      </w:r>
    </w:p>
    <w:p>
      <w:pPr>
        <w:pStyle w:val="0"/>
        <w:spacing w:before="200" w:line-rule="auto"/>
        <w:ind w:firstLine="540"/>
        <w:jc w:val="both"/>
      </w:pPr>
      <w:r>
        <w:rPr>
          <w:sz w:val="20"/>
        </w:rPr>
        <w:t xml:space="preserve">Кроме того, в целях повышения операционной эффективности бюджетных расходов предполагается дальнейшее совершенствование процедур планирования и технологий исполнения бюджета, включая:</w:t>
      </w:r>
    </w:p>
    <w:p>
      <w:pPr>
        <w:pStyle w:val="0"/>
        <w:spacing w:before="200" w:line-rule="auto"/>
        <w:ind w:firstLine="540"/>
        <w:jc w:val="both"/>
      </w:pPr>
      <w:r>
        <w:rPr>
          <w:sz w:val="20"/>
        </w:rPr>
        <w:t xml:space="preserve">- расширение практики внедрения обоснований расходов для получателей бюджетных средств, областных бюджетных и автономных учреждений по расходам на приобретение имущества и проведение ремонтных работ;</w:t>
      </w:r>
    </w:p>
    <w:p>
      <w:pPr>
        <w:pStyle w:val="0"/>
        <w:spacing w:before="200" w:line-rule="auto"/>
        <w:ind w:firstLine="540"/>
        <w:jc w:val="both"/>
      </w:pPr>
      <w:r>
        <w:rPr>
          <w:sz w:val="20"/>
        </w:rPr>
        <w:t xml:space="preserve">- введение в процедуру планирования бюджетных инвестиций в объекты капитального строительства механизма обоснования инвестиций, включая наличие утвержденной актуальной проектно-сметной документации, отвода земельного участка под строительство;</w:t>
      </w:r>
    </w:p>
    <w:p>
      <w:pPr>
        <w:pStyle w:val="0"/>
        <w:spacing w:before="200" w:line-rule="auto"/>
        <w:ind w:firstLine="540"/>
        <w:jc w:val="both"/>
      </w:pPr>
      <w:r>
        <w:rPr>
          <w:sz w:val="20"/>
        </w:rPr>
        <w:t xml:space="preserve">- распространение применения механизма казначейского сопровождения бюджетных средств.</w:t>
      </w:r>
    </w:p>
    <w:p>
      <w:pPr>
        <w:pStyle w:val="0"/>
        <w:spacing w:before="200" w:line-rule="auto"/>
        <w:ind w:firstLine="540"/>
        <w:jc w:val="both"/>
      </w:pPr>
      <w:r>
        <w:rPr>
          <w:sz w:val="20"/>
        </w:rPr>
        <w:t xml:space="preserve">Продолжится совершенствование финансовых взаимоотношений с муниципальными образованиями.</w:t>
      </w:r>
    </w:p>
    <w:p>
      <w:pPr>
        <w:pStyle w:val="0"/>
        <w:spacing w:before="200" w:line-rule="auto"/>
        <w:ind w:firstLine="540"/>
        <w:jc w:val="both"/>
      </w:pPr>
      <w:r>
        <w:rPr>
          <w:sz w:val="20"/>
        </w:rPr>
        <w:t xml:space="preserve">В соответствии с поручением Президента Российской Федерации от 1 марта 2020 г. N Пр-354 необходимо создание условий для реализации мероприятий, имеющих приоритетное значение для жителей муниципального образования и определяемых с учетом их мнения (путем проведения открытого голосования или конкурсного отбора). В этих целях следует обеспечить возможность направления на осуществление этих мероприятий по истечении трех лет не менее пяти процентов расходов местного бюджета, в первую очередь, по таким направлениям, как благоустройство городской среды, проведение культурных и спортивных мероприятий, обустройство объектов социальной инфраструктуры и прилегающих к ним территорий. Будет продолжена поддержка развития инициативного бюджетирования в муниципальных образованиях через стимулирование доходов местных бюджетов за счет самообложения граждан и добровольных пожертвований, направленных на реализацию инициативных проектов. Следующим шагом вовлечения в бюджетный процесс институтов гражданского общества должна стать интеграция инициативного бюджетирования в региональные государственные программы. Мероприятия по инициативному бюджетированию должны найти отражение на уровне подпрограмм и основных мероприятий государственных программ, начиная с 2021 года, с доведением доли этих мероприятий в объеме программ не менее пяти процентов.</w:t>
      </w:r>
    </w:p>
    <w:p>
      <w:pPr>
        <w:pStyle w:val="0"/>
        <w:jc w:val="both"/>
      </w:pPr>
      <w:r>
        <w:rPr>
          <w:sz w:val="20"/>
        </w:rPr>
      </w:r>
    </w:p>
    <w:p>
      <w:pPr>
        <w:pStyle w:val="2"/>
        <w:outlineLvl w:val="1"/>
        <w:jc w:val="center"/>
      </w:pPr>
      <w:r>
        <w:rPr>
          <w:sz w:val="20"/>
        </w:rPr>
        <w:t xml:space="preserve">2. Направления бюджетных расходов</w:t>
      </w:r>
    </w:p>
    <w:p>
      <w:pPr>
        <w:pStyle w:val="0"/>
        <w:jc w:val="both"/>
      </w:pPr>
      <w:r>
        <w:rPr>
          <w:sz w:val="20"/>
        </w:rPr>
      </w:r>
    </w:p>
    <w:p>
      <w:pPr>
        <w:pStyle w:val="0"/>
        <w:ind w:firstLine="540"/>
        <w:jc w:val="both"/>
      </w:pPr>
      <w:r>
        <w:rPr>
          <w:sz w:val="20"/>
        </w:rPr>
        <w:t xml:space="preserve">Бюджетная политика призвана обеспечить финансовыми ресурсами расходные обязательства региона по закрепленным за ним федеральным законодательством полномочиям. С этой целью более 70% расходов областного бюджета будет направлено на финансирование отраслей социальной сферы.</w:t>
      </w:r>
    </w:p>
    <w:p>
      <w:pPr>
        <w:pStyle w:val="0"/>
        <w:spacing w:before="200" w:line-rule="auto"/>
        <w:ind w:firstLine="540"/>
        <w:jc w:val="both"/>
      </w:pPr>
      <w:r>
        <w:rPr>
          <w:sz w:val="20"/>
        </w:rPr>
        <w:t xml:space="preserve">В сфере образования должна быть продолжена реализация мероприятий, осуществляемых в рамках национальных проектов "Образование" и "Демография".</w:t>
      </w:r>
    </w:p>
    <w:p>
      <w:pPr>
        <w:pStyle w:val="0"/>
        <w:spacing w:before="200" w:line-rule="auto"/>
        <w:ind w:firstLine="540"/>
        <w:jc w:val="both"/>
      </w:pPr>
      <w:r>
        <w:rPr>
          <w:sz w:val="20"/>
        </w:rPr>
        <w:t xml:space="preserve">В государственных, муниципальных и частных общеобразовательных организациях, детских садах должны быть реализованы условия для равного доступа к услугам дошкольного, общего и дополнительного образования детей независимо от места жительства, состояния здоровья и социально-экономического положения их семей.</w:t>
      </w:r>
    </w:p>
    <w:p>
      <w:pPr>
        <w:pStyle w:val="0"/>
        <w:spacing w:before="200" w:line-rule="auto"/>
        <w:ind w:firstLine="540"/>
        <w:jc w:val="both"/>
      </w:pPr>
      <w:r>
        <w:rPr>
          <w:sz w:val="20"/>
        </w:rPr>
        <w:t xml:space="preserve">Согласно </w:t>
      </w:r>
      <w:hyperlink w:history="0" r:id="rId59"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Указу</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в целях достижения 100-процентной доступности в 2021 году дошкольного образования для детей в возрасте до трех лет необходимо построить 2 детских дошкольных учреждения в г. Владимире.</w:t>
      </w:r>
    </w:p>
    <w:p>
      <w:pPr>
        <w:pStyle w:val="0"/>
        <w:spacing w:before="200" w:line-rule="auto"/>
        <w:ind w:firstLine="540"/>
        <w:jc w:val="both"/>
      </w:pPr>
      <w:r>
        <w:rPr>
          <w:sz w:val="20"/>
        </w:rPr>
        <w:t xml:space="preserve">В целях создания новых мест в общеобразовательных организациях по федеральному проекту "Современная школа" в полном объеме должно быть предусмотрено финансовое обеспечение строительства новых школ в соответствии с актуальной проектно-сметной документацией, прошедшей государственную экспертизу. Предусматривается ввод в действие общеобразовательных школ более чем на 3,5 тысячи мест. Должны быть введены школы на 1100 мест в микрорайоне Коммунар г. Владимира в 2021 году и в г. Коврове в 2022 году. В 2023 году планируется строительство школ в городах Гусь-Хрустальном, Вязниках, Покрове и в с. Сновицы Суздальского района.</w:t>
      </w:r>
    </w:p>
    <w:p>
      <w:pPr>
        <w:pStyle w:val="0"/>
        <w:spacing w:before="200" w:line-rule="auto"/>
        <w:ind w:firstLine="540"/>
        <w:jc w:val="both"/>
      </w:pPr>
      <w:r>
        <w:rPr>
          <w:sz w:val="20"/>
        </w:rPr>
        <w:t xml:space="preserve">В соответствии с </w:t>
      </w:r>
      <w:hyperlink w:history="0" r:id="rId60" w:tooltip="&quot;Перечень поручений по реализации Послания Президента Федеральному Собранию&quot; (утв. Президентом РФ 24.01.2020 N Пр-113) {КонсультантПлюс}">
        <w:r>
          <w:rPr>
            <w:sz w:val="20"/>
            <w:color w:val="0000ff"/>
          </w:rPr>
          <w:t xml:space="preserve">поручением</w:t>
        </w:r>
      </w:hyperlink>
      <w:r>
        <w:rPr>
          <w:sz w:val="20"/>
        </w:rPr>
        <w:t xml:space="preserve"> Президента Российской Федерации от 24 января 2020 г. N Пр-113 предусматриваются средства областного бюджета на поэтапный переход с 1 сентября 2020 года до 1 сентября 2023 года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что позволит привлечь на указанные цели софинансирование из федерального бюджета.</w:t>
      </w:r>
    </w:p>
    <w:p>
      <w:pPr>
        <w:pStyle w:val="0"/>
        <w:spacing w:before="200" w:line-rule="auto"/>
        <w:ind w:firstLine="540"/>
        <w:jc w:val="both"/>
      </w:pPr>
      <w:r>
        <w:rPr>
          <w:sz w:val="20"/>
        </w:rPr>
        <w:t xml:space="preserve">Планируется реализация мероприятий, направленных на оказание психолого-педагогической, методической и консультативной помощи родителям детей, получающим образование в семье, создание условий для раннего развития детей, обеспечение социально-психологической реабилитации и абилитации детей-инвалидов. Повышение доступности качественного образования для детей с ограниченными возможностями здоровья, детей-инвалидов необходимо обеспечивать посредством реализации программ инклюзивного образования.</w:t>
      </w:r>
    </w:p>
    <w:p>
      <w:pPr>
        <w:pStyle w:val="0"/>
        <w:spacing w:before="200" w:line-rule="auto"/>
        <w:ind w:firstLine="540"/>
        <w:jc w:val="both"/>
      </w:pPr>
      <w:r>
        <w:rPr>
          <w:sz w:val="20"/>
        </w:rPr>
        <w:t xml:space="preserve">Продолжится работа по созданию современной и безопасной цифровой образовательной среды путем обновления информационно-коммуникационной и технологической инфраструктуры, разработки и реализации разноуровневых дополнительных общеобразовательных программ цифрового и гуманитарного профилей, внедрения инструментов федеральной цифровой платформы в образовательный процесс.</w:t>
      </w:r>
    </w:p>
    <w:p>
      <w:pPr>
        <w:pStyle w:val="0"/>
        <w:spacing w:before="200" w:line-rule="auto"/>
        <w:ind w:firstLine="540"/>
        <w:jc w:val="both"/>
      </w:pPr>
      <w:r>
        <w:rPr>
          <w:sz w:val="20"/>
        </w:rPr>
        <w:t xml:space="preserve">В школах, расположенных в сельской местности и малых городах, продолжится создание Центров образования "Точка роста" для реализации программ цифрового и гуманитарного профилей, способствующих формированию современных компетенций и навыков у детей.</w:t>
      </w:r>
    </w:p>
    <w:p>
      <w:pPr>
        <w:pStyle w:val="0"/>
        <w:spacing w:before="200" w:line-rule="auto"/>
        <w:ind w:firstLine="540"/>
        <w:jc w:val="both"/>
      </w:pPr>
      <w:r>
        <w:rPr>
          <w:sz w:val="20"/>
        </w:rPr>
        <w:t xml:space="preserve">Должны быть созданы условия для занятий физической культурой и спортом в сельских общеобразовательных организациях.</w:t>
      </w:r>
    </w:p>
    <w:p>
      <w:pPr>
        <w:pStyle w:val="0"/>
        <w:spacing w:before="200" w:line-rule="auto"/>
        <w:ind w:firstLine="540"/>
        <w:jc w:val="both"/>
      </w:pPr>
      <w:r>
        <w:rPr>
          <w:sz w:val="20"/>
        </w:rPr>
        <w:t xml:space="preserve">Софинансирование полномочий органов местного самоуправления по организации подвоза учащихся школ, расположенных в сельской местности, будет осуществляться посредством предоставления субсидии из областного бюджета на приобретение дополнительных единиц транспорта, а также на поэтапную замену автотранспорта, выработавшего свой ресурс.</w:t>
      </w:r>
    </w:p>
    <w:p>
      <w:pPr>
        <w:pStyle w:val="0"/>
        <w:spacing w:before="200" w:line-rule="auto"/>
        <w:ind w:firstLine="540"/>
        <w:jc w:val="both"/>
      </w:pPr>
      <w:r>
        <w:rPr>
          <w:sz w:val="20"/>
        </w:rPr>
        <w:t xml:space="preserve">Планируется выявление и поддержка талантливых детей и молодежи, вовлечение учащихся в научно-техническое творчество, создание конкурентной среды и повышение доступности и качества дополнительного образования детей, в том числе с использованием системы дистанционного обучения, на базе детского технопарка "Кванториум", Центра поддержки одаренных детей. Две единицы мобильного технопарка "Кванториум" обеспечат дополнительный охват детей, проживающих в сельской местности и малых городах, инновационными дополнительными общеобразовательными программами естественнонаучной и технической направленности.</w:t>
      </w:r>
    </w:p>
    <w:p>
      <w:pPr>
        <w:pStyle w:val="0"/>
        <w:spacing w:before="200" w:line-rule="auto"/>
        <w:ind w:firstLine="540"/>
        <w:jc w:val="both"/>
      </w:pPr>
      <w:r>
        <w:rPr>
          <w:sz w:val="20"/>
        </w:rPr>
        <w:t xml:space="preserve">На повышение конкурентоспособности профессионального образования должна быть направлена комплексная поддержка подготовки высококвалифицированных кадров с учетом современных стандартов и передовых технологий. Планируется создание мастерских, оснащенных современным высокотехнологичным оборудованием, что обеспечит подготовку специалистов по перспективным профессиям на уровне, соответствующем лучшим мировым стандартам и практикам, в том числе стандартам "Ворлдскиллс". На базе Владимирского авиамеханического колледжа планируется создание Центра опережающей профессиональной подготовки, что обеспечит доступность обучения для всех категорий граждан по дополнительным профессиональным образовательным программам по приоритетным для региона компетенциям.</w:t>
      </w:r>
    </w:p>
    <w:p>
      <w:pPr>
        <w:pStyle w:val="0"/>
        <w:spacing w:before="200" w:line-rule="auto"/>
        <w:ind w:firstLine="540"/>
        <w:jc w:val="both"/>
      </w:pPr>
      <w:r>
        <w:rPr>
          <w:sz w:val="20"/>
        </w:rPr>
        <w:t xml:space="preserve">В целях обеспечения условий, гарантирующих сохранение здоровья детей и безопасность участников образовательного процесса, продолжится реализация мероприятий по обеспечению технической безопасности зданий и инженерных систем образовательных учреждений.</w:t>
      </w:r>
    </w:p>
    <w:p>
      <w:pPr>
        <w:pStyle w:val="0"/>
        <w:spacing w:before="200" w:line-rule="auto"/>
        <w:ind w:firstLine="540"/>
        <w:jc w:val="both"/>
      </w:pPr>
      <w:r>
        <w:rPr>
          <w:sz w:val="20"/>
        </w:rPr>
        <w:t xml:space="preserve">В целях укрепления здоровья и обеспечения отдыха детей и подростков планируется направление их в оздоровительные организации области и другие регионы России. Продолжится работа по развитию детского туризма.</w:t>
      </w:r>
    </w:p>
    <w:p>
      <w:pPr>
        <w:pStyle w:val="0"/>
        <w:spacing w:before="200" w:line-rule="auto"/>
        <w:ind w:firstLine="540"/>
        <w:jc w:val="both"/>
      </w:pPr>
      <w:r>
        <w:rPr>
          <w:sz w:val="20"/>
        </w:rPr>
        <w:t xml:space="preserve">Следует обеспечить финансирование проектов, направленных на поддержку инноваций в муниципальных общеобразовательных организациях, лучших муниципальных загородных оздоровительных лагерей по итогам областного конкурса.</w:t>
      </w:r>
    </w:p>
    <w:p>
      <w:pPr>
        <w:pStyle w:val="0"/>
        <w:spacing w:before="200" w:line-rule="auto"/>
        <w:ind w:firstLine="540"/>
        <w:jc w:val="both"/>
      </w:pPr>
      <w:r>
        <w:rPr>
          <w:sz w:val="20"/>
        </w:rPr>
        <w:t xml:space="preserve">В целях повышения кадрового потенциала педагогов в дополнение к выплатам за счет областного бюджета планируются выплаты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 за счет средств федерального бюджета в размере 5000 рублей.</w:t>
      </w:r>
    </w:p>
    <w:p>
      <w:pPr>
        <w:pStyle w:val="0"/>
        <w:spacing w:before="200" w:line-rule="auto"/>
        <w:ind w:firstLine="540"/>
        <w:jc w:val="both"/>
      </w:pPr>
      <w:r>
        <w:rPr>
          <w:sz w:val="20"/>
        </w:rPr>
        <w:t xml:space="preserve">Сохранятся предусмотренные областным законодательством меры социальной поддержки работников системы образования, включая программы ипотечного кредитования учителей. В целях стимулирования молодых специалистов и опытных учителей к переезду в сельскую местность и малые города продолжится реализация программы "Земский учитель".</w:t>
      </w:r>
    </w:p>
    <w:p>
      <w:pPr>
        <w:pStyle w:val="0"/>
        <w:spacing w:before="200" w:line-rule="auto"/>
        <w:ind w:firstLine="540"/>
        <w:jc w:val="both"/>
      </w:pPr>
      <w:r>
        <w:rPr>
          <w:sz w:val="20"/>
        </w:rPr>
        <w:t xml:space="preserve">В сфере здравоохранения бюджетная политика направлена на повышение качества и доступности медицинской помощи.</w:t>
      </w:r>
    </w:p>
    <w:p>
      <w:pPr>
        <w:pStyle w:val="0"/>
        <w:spacing w:before="200" w:line-rule="auto"/>
        <w:ind w:firstLine="540"/>
        <w:jc w:val="both"/>
      </w:pPr>
      <w:r>
        <w:rPr>
          <w:sz w:val="20"/>
        </w:rPr>
        <w:t xml:space="preserve">Бюджетные ассигнования должны быть сформированы на финансовое обеспечение реализации территориальной программы государственных гарантий бесплатного оказания гражданам медицинской помощи с соблюдением установленных Программой государственных гарантий бесплатного оказания гражданам Российской Федерации медицинской помощи нормативов объемов медицинской помощи, финансовых затрат на единицу объема медицинской помощи, среднего подушевого норматива финансирования.</w:t>
      </w:r>
    </w:p>
    <w:p>
      <w:pPr>
        <w:pStyle w:val="0"/>
        <w:spacing w:before="200" w:line-rule="auto"/>
        <w:ind w:firstLine="540"/>
        <w:jc w:val="both"/>
      </w:pPr>
      <w:r>
        <w:rPr>
          <w:sz w:val="20"/>
        </w:rPr>
        <w:t xml:space="preserve">В 2021 - 2023 годах продолжится реализация региональной составляющей национального проекта "Здравоохранение", включающего семь федеральных проектов по наиболее приоритетным направлениям развития.</w:t>
      </w:r>
    </w:p>
    <w:p>
      <w:pPr>
        <w:pStyle w:val="0"/>
        <w:spacing w:before="200" w:line-rule="auto"/>
        <w:ind w:firstLine="540"/>
        <w:jc w:val="both"/>
      </w:pPr>
      <w:r>
        <w:rPr>
          <w:sz w:val="20"/>
        </w:rPr>
        <w:t xml:space="preserve">Особое внимание должно быть направлено на совершенствование оказания первичной медико-санитарной медицинской помощи, укрепление службы охраны материнства и детства, обеспечение лекарственными препаратами отдельных категорий граждан.</w:t>
      </w:r>
    </w:p>
    <w:p>
      <w:pPr>
        <w:pStyle w:val="0"/>
        <w:spacing w:before="200" w:line-rule="auto"/>
        <w:ind w:firstLine="540"/>
        <w:jc w:val="both"/>
      </w:pPr>
      <w:r>
        <w:rPr>
          <w:sz w:val="20"/>
        </w:rPr>
        <w:t xml:space="preserve">Повышение доступности первичной медико-санитарной помощи планируется осуществлять путем использования передвижных медицинских комплексов с обеспечением выездов в малонаселенные пункты области. В целях оказания экстренной медицинской помощи предусмотрено использование санитарной авиации и строительство двух вертолетных площадок. Необходимо решить вопрос строительства подстанции скорой медицинской помощи в г. Владимире. Планируются средства на обновление парка автомобилей скорой медицинской помощи.</w:t>
      </w:r>
    </w:p>
    <w:p>
      <w:pPr>
        <w:pStyle w:val="0"/>
        <w:spacing w:before="200" w:line-rule="auto"/>
        <w:ind w:firstLine="540"/>
        <w:jc w:val="both"/>
      </w:pPr>
      <w:r>
        <w:rPr>
          <w:sz w:val="20"/>
        </w:rPr>
        <w:t xml:space="preserve">На 2021 год предусмотрено выделение дополнительных средств из областного бюджета на обновление материально-технической базы медицинских учреждений на сумму более 1,6 млрд. рублей по сравнению с утвержденными показателями на этот год. Медицинское оборудование, закупленное в 2020 году в целях борьбы против новой коронавирусной инфекции, работает и в дальнейшем будет работать с учетом его распределения учреждениям для оказания первичной медико-санитарной помощи на развитие здравоохранения области. Дополнительным стимулом станет реализация региональной программы модернизации первичного звена здравоохранения, утверждение которой ожидается до 15 декабря 2020 года.</w:t>
      </w:r>
    </w:p>
    <w:p>
      <w:pPr>
        <w:pStyle w:val="0"/>
        <w:spacing w:before="200" w:line-rule="auto"/>
        <w:ind w:firstLine="540"/>
        <w:jc w:val="both"/>
      </w:pPr>
      <w:r>
        <w:rPr>
          <w:sz w:val="20"/>
        </w:rPr>
        <w:t xml:space="preserve">Планируется усилить роль медицинской профилактики инфекционных заболеваний, включая туберкулез, путем приобретения передвижного медицинского комплекса.</w:t>
      </w:r>
    </w:p>
    <w:p>
      <w:pPr>
        <w:pStyle w:val="0"/>
        <w:spacing w:before="200" w:line-rule="auto"/>
        <w:ind w:firstLine="540"/>
        <w:jc w:val="both"/>
      </w:pPr>
      <w:r>
        <w:rPr>
          <w:sz w:val="20"/>
        </w:rPr>
        <w:t xml:space="preserve">Для достижения результата целевого показателя по оснащению не менее 95% детских поликлиник и детских поликлинических отделений медицинских организаций предусмотрены средства областного бюджета на укрепление материально-технической базы службы охраны материнства и детства.</w:t>
      </w:r>
    </w:p>
    <w:p>
      <w:pPr>
        <w:pStyle w:val="0"/>
        <w:spacing w:before="200" w:line-rule="auto"/>
        <w:ind w:firstLine="540"/>
        <w:jc w:val="both"/>
      </w:pPr>
      <w:r>
        <w:rPr>
          <w:sz w:val="20"/>
        </w:rPr>
        <w:t xml:space="preserve">В трехлетнем периоде следует завершить реконструкцию помещения под акушерский корпус для нужд Ковровской многопрофильной городской больницы N 1, строительство инфекционного корпуса детской областной больницы, детских поликлиник в г. Кольчугино и окр. Муром, поликлиники в мкр. Заклязьменский г. Владимира.</w:t>
      </w:r>
    </w:p>
    <w:p>
      <w:pPr>
        <w:pStyle w:val="0"/>
        <w:spacing w:before="200" w:line-rule="auto"/>
        <w:ind w:firstLine="540"/>
        <w:jc w:val="both"/>
      </w:pPr>
      <w:r>
        <w:rPr>
          <w:sz w:val="20"/>
        </w:rPr>
        <w:t xml:space="preserve">С 2021 года предусматриваются дополнительные средства из федерального бюджета (за счет повышенной ставки налога на доходы физических лиц с 13% до 15% для граждан, зарабатывающих свыше 5 млн. рублей в год) на лечение больных детей с тяжелыми, редкими заболеваниями, на закупку дорогостоящих лекарств, техники и средств реабилитации.</w:t>
      </w:r>
    </w:p>
    <w:p>
      <w:pPr>
        <w:pStyle w:val="0"/>
        <w:spacing w:before="200" w:line-rule="auto"/>
        <w:ind w:firstLine="540"/>
        <w:jc w:val="both"/>
      </w:pPr>
      <w:r>
        <w:rPr>
          <w:sz w:val="20"/>
        </w:rPr>
        <w:t xml:space="preserve">Последующее развитие получит медицинская профилактика развития сердечно-сосудистых заболеваний и сердечно-сосудистых осложнений у пациентов из группы высокого риска, находящихся на диспансерном наблюдении. Предусмотрены средства на оснащение оборудованием регионального сосудистого центра и первичных сосудистых отделений.</w:t>
      </w:r>
    </w:p>
    <w:p>
      <w:pPr>
        <w:pStyle w:val="0"/>
        <w:spacing w:before="200" w:line-rule="auto"/>
        <w:ind w:firstLine="540"/>
        <w:jc w:val="both"/>
      </w:pPr>
      <w:r>
        <w:rPr>
          <w:sz w:val="20"/>
        </w:rPr>
        <w:t xml:space="preserve">В целях обеспечения доступности онкологической помощи продолжится создание сети центров амбулаторной онкологической помощи, оснащенных полным спектром оборудования для комплексной и быстрой диагностики основных видов онкопатологии.</w:t>
      </w:r>
    </w:p>
    <w:p>
      <w:pPr>
        <w:pStyle w:val="0"/>
        <w:spacing w:before="200" w:line-rule="auto"/>
        <w:ind w:firstLine="540"/>
        <w:jc w:val="both"/>
      </w:pPr>
      <w:r>
        <w:rPr>
          <w:sz w:val="20"/>
        </w:rPr>
        <w:t xml:space="preserve">Дальнейшее развитие получит паллиативная медицинская помощь в стационарных условиях.</w:t>
      </w:r>
    </w:p>
    <w:p>
      <w:pPr>
        <w:pStyle w:val="0"/>
        <w:spacing w:before="200" w:line-rule="auto"/>
        <w:ind w:firstLine="540"/>
        <w:jc w:val="both"/>
      </w:pPr>
      <w:r>
        <w:rPr>
          <w:sz w:val="20"/>
        </w:rPr>
        <w:t xml:space="preserve">Планируется продолжить работу по развитию информационной системы здравоохранения и телемедицины. В целом должна быть создана защищенная сеть передачи данных медицинских организаций области. На основе единой государственной информационной системы здравоохранения планируется формирование единой системы диспетчеризации скорой медицинской помощи.</w:t>
      </w:r>
    </w:p>
    <w:p>
      <w:pPr>
        <w:pStyle w:val="0"/>
        <w:spacing w:before="200" w:line-rule="auto"/>
        <w:ind w:firstLine="540"/>
        <w:jc w:val="both"/>
      </w:pPr>
      <w:r>
        <w:rPr>
          <w:sz w:val="20"/>
        </w:rPr>
        <w:t xml:space="preserve">Продолжится работа по устранению дефицита кадров, особенно в первичном звене. Должны быть финансово обеспечены установленные федеральным и областным законодательством меры социальной поддержки медицинским работникам.</w:t>
      </w:r>
    </w:p>
    <w:p>
      <w:pPr>
        <w:pStyle w:val="0"/>
        <w:spacing w:before="200" w:line-rule="auto"/>
        <w:ind w:firstLine="540"/>
        <w:jc w:val="both"/>
      </w:pPr>
      <w:r>
        <w:rPr>
          <w:sz w:val="20"/>
        </w:rPr>
        <w:t xml:space="preserve">В сфере социальной политики одним из главных приоритетов является достижение целей национального проекта "Демография".</w:t>
      </w:r>
    </w:p>
    <w:p>
      <w:pPr>
        <w:pStyle w:val="0"/>
        <w:spacing w:before="200" w:line-rule="auto"/>
        <w:ind w:firstLine="540"/>
        <w:jc w:val="both"/>
      </w:pPr>
      <w:r>
        <w:rPr>
          <w:sz w:val="20"/>
        </w:rPr>
        <w:t xml:space="preserve">Бюджетная политика должна быть направлена на выполнение обязательств региона по предоставлению пособий, компенсаций, ежемесячных денежных выплат гражданам, которые не обладают возможностями для самостоятельного решения социальных проблем. В целях сохранения доходов семей с детьми и граждан пожилого возраста предусмотрена индексация социальных пособий с 1 января 2021 года на уровень не ниже инфляции.</w:t>
      </w:r>
    </w:p>
    <w:p>
      <w:pPr>
        <w:pStyle w:val="0"/>
        <w:spacing w:before="200" w:line-rule="auto"/>
        <w:ind w:firstLine="540"/>
        <w:jc w:val="both"/>
      </w:pPr>
      <w:r>
        <w:rPr>
          <w:sz w:val="20"/>
        </w:rPr>
        <w:t xml:space="preserve">В части государственной поддержки семей с детьми наиболее важными из мер остаются осуществление ежемесячной выплаты в связи с рождением (усыновлением) первого ребенка, выплаты на третьего или последующих детей до достижения ребенком возраста трех лет, предоставление областного материнского (семейного) капитала. Кроме того, с 2020 года </w:t>
      </w:r>
      <w:hyperlink w:history="0" r:id="rId61" w:tooltip="Указ Президента РФ от 20.03.2020 N 199 (ред. от 10.03.2021) &quot;О дополнительных мерах государственной поддержки семей, имеющих детей&quot; {КонсультантПлюс}">
        <w:r>
          <w:rPr>
            <w:sz w:val="20"/>
            <w:color w:val="0000ff"/>
          </w:rPr>
          <w:t xml:space="preserve">Указом</w:t>
        </w:r>
      </w:hyperlink>
      <w:r>
        <w:rPr>
          <w:sz w:val="20"/>
        </w:rPr>
        <w:t xml:space="preserve"> Президента Российской Федерации от 20 марта 2020 г. N 199 "О дополнительных мерах государственной поддержки семей, имеющих детей" введена новая выплата на ребенка в возрасте от трех до семи лет включительно в размере половины прожиточного минимума для семей с детьми, которая реализуется с учетом софинансирования из федерального бюджета.</w:t>
      </w:r>
    </w:p>
    <w:p>
      <w:pPr>
        <w:pStyle w:val="0"/>
        <w:spacing w:before="200" w:line-rule="auto"/>
        <w:ind w:firstLine="540"/>
        <w:jc w:val="both"/>
      </w:pPr>
      <w:r>
        <w:rPr>
          <w:sz w:val="20"/>
        </w:rPr>
        <w:t xml:space="preserve">В трехлетнем периоде должны быть сохранены объемы расходов областного бюджета, направляемые на обеспечение жильем детей-сирот и детей, оставшихся без попечения родителей.</w:t>
      </w:r>
    </w:p>
    <w:p>
      <w:pPr>
        <w:pStyle w:val="0"/>
        <w:spacing w:before="200" w:line-rule="auto"/>
        <w:ind w:firstLine="540"/>
        <w:jc w:val="both"/>
      </w:pPr>
      <w:r>
        <w:rPr>
          <w:sz w:val="20"/>
        </w:rPr>
        <w:t xml:space="preserve">Необходимо обеспечить ежегодные денежные выплаты ко Дню Победы советского народа в Великой Отечественной войне 1941 - 1945 годов (9 мая) и компенсацию расходов на оплату жилого помещения и коммунальных услуг лицам, которым на 3 сентября 1945 года не исполнилось 18 лет ("Дети войны").</w:t>
      </w:r>
    </w:p>
    <w:p>
      <w:pPr>
        <w:pStyle w:val="0"/>
        <w:spacing w:before="200" w:line-rule="auto"/>
        <w:ind w:firstLine="540"/>
        <w:jc w:val="both"/>
      </w:pPr>
      <w:r>
        <w:rPr>
          <w:sz w:val="20"/>
        </w:rPr>
        <w:t xml:space="preserve">Повышению доступности социального обслуживания граждан должно способствовать планируемое с 2021 года начало строительства жилого корпуса сопровождаемого проживания психоневрологического интерната в пос. Гусевский для нужд пожилых граждан и инвалидов на 130 мест с учетом софинансирования из федерального бюджета.</w:t>
      </w:r>
    </w:p>
    <w:p>
      <w:pPr>
        <w:pStyle w:val="0"/>
        <w:spacing w:before="200" w:line-rule="auto"/>
        <w:ind w:firstLine="540"/>
        <w:jc w:val="both"/>
      </w:pPr>
      <w:r>
        <w:rPr>
          <w:sz w:val="20"/>
        </w:rPr>
        <w:t xml:space="preserve">В 2022 - 2023 годах планируется начать строительство "Социального городка" для нужд пожилых граждан и инвалидов в г. Киржаче на 200 мест и комплексного центра социального обслуживания со стационарным отделением, отделением дневного пребывания, реабилитации и сопровождаемого проживания в г. Юрьев-Польском на 135 мест с планируемым привлечением средств федерального бюджета.</w:t>
      </w:r>
    </w:p>
    <w:p>
      <w:pPr>
        <w:pStyle w:val="0"/>
        <w:spacing w:before="200" w:line-rule="auto"/>
        <w:ind w:firstLine="540"/>
        <w:jc w:val="both"/>
      </w:pPr>
      <w:r>
        <w:rPr>
          <w:sz w:val="20"/>
        </w:rPr>
        <w:t xml:space="preserve">В целях улучшения безопасных и комфортных условий предоставления социальных услуг планируются модернизация и развитие материально-технической базы организаций социального обслуживания, поддержание в них режима комплексной безопасности, а также повышение уровня доступности приоритетных объектов и услуг в приоритетных сферах жизнедеятельности инвалидов и других маломобильных групп населения.</w:t>
      </w:r>
    </w:p>
    <w:p>
      <w:pPr>
        <w:pStyle w:val="0"/>
        <w:spacing w:before="200" w:line-rule="auto"/>
        <w:ind w:firstLine="540"/>
        <w:jc w:val="both"/>
      </w:pPr>
      <w:r>
        <w:rPr>
          <w:sz w:val="20"/>
        </w:rPr>
        <w:t xml:space="preserve">С целью продления пребывания пожилого человека в привычной для него социальной среде продолжится развитие стационарозамещающих технологий социального обслуживания граждан. Предусматривается социальное сопровождение семей с детьми-инвалидами.</w:t>
      </w:r>
    </w:p>
    <w:p>
      <w:pPr>
        <w:pStyle w:val="0"/>
        <w:spacing w:before="200" w:line-rule="auto"/>
        <w:ind w:firstLine="540"/>
        <w:jc w:val="both"/>
      </w:pPr>
      <w:r>
        <w:rPr>
          <w:sz w:val="20"/>
        </w:rPr>
        <w:t xml:space="preserve">Дополнительное развитие получит механизм оказания помощи на основании социального контракта, в том числе с учетом опыта "пилотных" субъектов Российской Федерации, в целях сокращения уровня бедности нуждающихся семей и в приоритетном порядке - семей с детьми. С 2021 года на указанные цели предусмотрено софинансирование из федерального бюджета.</w:t>
      </w:r>
    </w:p>
    <w:p>
      <w:pPr>
        <w:pStyle w:val="0"/>
        <w:spacing w:before="200" w:line-rule="auto"/>
        <w:ind w:firstLine="540"/>
        <w:jc w:val="both"/>
      </w:pPr>
      <w:r>
        <w:rPr>
          <w:sz w:val="20"/>
        </w:rPr>
        <w:t xml:space="preserve">Развитие рынка социальных услуг будет продолжено путем привлечения к их предоставлению некоммерческих организаций.</w:t>
      </w:r>
    </w:p>
    <w:p>
      <w:pPr>
        <w:pStyle w:val="0"/>
        <w:spacing w:before="200" w:line-rule="auto"/>
        <w:ind w:firstLine="540"/>
        <w:jc w:val="both"/>
      </w:pPr>
      <w:r>
        <w:rPr>
          <w:sz w:val="20"/>
        </w:rPr>
        <w:t xml:space="preserve">В сфере физической культуры и спорта реализуется федеральный проект "Спорт - норма жизни" национального проекта "Демография", направленный на доведение к 2024 году до 55% доли населения, систематически занимающегося физической культурой и спортом, активизацию спортивно-массовой работы на всех уровнях.</w:t>
      </w:r>
    </w:p>
    <w:p>
      <w:pPr>
        <w:pStyle w:val="0"/>
        <w:spacing w:before="200" w:line-rule="auto"/>
        <w:ind w:firstLine="540"/>
        <w:jc w:val="both"/>
      </w:pPr>
      <w:r>
        <w:rPr>
          <w:sz w:val="20"/>
        </w:rPr>
        <w:t xml:space="preserve">Бюджетная политика направлена на решение следующих основных задач:</w:t>
      </w:r>
    </w:p>
    <w:p>
      <w:pPr>
        <w:pStyle w:val="0"/>
        <w:spacing w:before="200" w:line-rule="auto"/>
        <w:ind w:firstLine="540"/>
        <w:jc w:val="both"/>
      </w:pPr>
      <w:r>
        <w:rPr>
          <w:sz w:val="20"/>
        </w:rPr>
        <w:t xml:space="preserve">- создание для всех категорий и групп населения условий для занятий физической культурой и массовым спортом;</w:t>
      </w:r>
    </w:p>
    <w:p>
      <w:pPr>
        <w:pStyle w:val="0"/>
        <w:spacing w:before="200" w:line-rule="auto"/>
        <w:ind w:firstLine="540"/>
        <w:jc w:val="both"/>
      </w:pPr>
      <w:r>
        <w:rPr>
          <w:sz w:val="20"/>
        </w:rPr>
        <w:t xml:space="preserve">- повышение уровня обеспеченности населения объектами спорта;</w:t>
      </w:r>
    </w:p>
    <w:p>
      <w:pPr>
        <w:pStyle w:val="0"/>
        <w:spacing w:before="200" w:line-rule="auto"/>
        <w:ind w:firstLine="540"/>
        <w:jc w:val="both"/>
      </w:pPr>
      <w:r>
        <w:rPr>
          <w:sz w:val="20"/>
        </w:rPr>
        <w:t xml:space="preserve">- подготовка спортивного резерва.</w:t>
      </w:r>
    </w:p>
    <w:p>
      <w:pPr>
        <w:pStyle w:val="0"/>
        <w:spacing w:before="200" w:line-rule="auto"/>
        <w:ind w:firstLine="540"/>
        <w:jc w:val="both"/>
      </w:pPr>
      <w:r>
        <w:rPr>
          <w:sz w:val="20"/>
        </w:rPr>
        <w:t xml:space="preserve">В 2021 - 2023 годах предусмотрены бюджетные ассигнования на реализацию программ спортивной подготовки в государственных и муниципальных учреждениях спорта в соответствии с требованиями федеральных стандартов.</w:t>
      </w:r>
    </w:p>
    <w:p>
      <w:pPr>
        <w:pStyle w:val="0"/>
        <w:spacing w:before="200" w:line-rule="auto"/>
        <w:ind w:firstLine="540"/>
        <w:jc w:val="both"/>
      </w:pPr>
      <w:r>
        <w:rPr>
          <w:sz w:val="20"/>
        </w:rPr>
        <w:t xml:space="preserve">Необходимо обеспечить дальнейшее совершенствование системы спорта высших достижений и системы подготовки спортивного резерва, способствующих успешному выступлению владимирских спортсменов на официальных международных и всероссийских спортивных соревнованиях. Продолжится подготовка спортсменов к участию в мероприятиях по олимпийским, паралимпийским и сурдлимпийским видам спорта. С этой целью будет оказано содействие развитию спортивных школ, на базе которых проводятся тренировочные мероприятия.</w:t>
      </w:r>
    </w:p>
    <w:p>
      <w:pPr>
        <w:pStyle w:val="0"/>
        <w:spacing w:before="200" w:line-rule="auto"/>
        <w:ind w:firstLine="540"/>
        <w:jc w:val="both"/>
      </w:pPr>
      <w:r>
        <w:rPr>
          <w:sz w:val="20"/>
        </w:rPr>
        <w:t xml:space="preserve">Следует провести мероприятия по внедрению Всероссийского физкультурно-спортивного комплекса "Готов к труду и обороне", а также оказать финансовую поддержку социально ориентированным некоммерческим организациям "Футбольный клуб "Торпедо-Владимир" и "Мотобольный клуб "Ковровец". Планируется реализация календарного плана спортивных и физкультурных мероприятий.</w:t>
      </w:r>
    </w:p>
    <w:p>
      <w:pPr>
        <w:pStyle w:val="0"/>
        <w:spacing w:before="200" w:line-rule="auto"/>
        <w:ind w:firstLine="540"/>
        <w:jc w:val="both"/>
      </w:pPr>
      <w:r>
        <w:rPr>
          <w:sz w:val="20"/>
        </w:rPr>
        <w:t xml:space="preserve">В целях стимулирования спортивных достижений и поощрения высоких результатов в сфере физической культуры и спорта предусмотрено учреждение почетных званий, наград, а также выплаты персональных стипендий и премий спортсменам Владимирской области и их тренерам.</w:t>
      </w:r>
    </w:p>
    <w:p>
      <w:pPr>
        <w:pStyle w:val="0"/>
        <w:spacing w:before="200" w:line-rule="auto"/>
        <w:ind w:firstLine="540"/>
        <w:jc w:val="both"/>
      </w:pPr>
      <w:r>
        <w:rPr>
          <w:sz w:val="20"/>
        </w:rPr>
        <w:t xml:space="preserve">Предусматривается дальнейшее развитие инфраструктуры физической культуры и спорта путем модернизации спортивных объектов и их оснащения спортивно-технологическим оборудованием, в том числе для лиц с ограниченными возможностями здоровья и инвалидов.</w:t>
      </w:r>
    </w:p>
    <w:p>
      <w:pPr>
        <w:pStyle w:val="0"/>
        <w:spacing w:before="200" w:line-rule="auto"/>
        <w:ind w:firstLine="540"/>
        <w:jc w:val="both"/>
      </w:pPr>
      <w:r>
        <w:rPr>
          <w:sz w:val="20"/>
        </w:rPr>
        <w:t xml:space="preserve">В трехлетнем периоде планируется завершение строительства многофункционального спортивного центра в г. Коврове, крытого катка с искусственным льдом в г. Вязники, реконструкции стадиона в пос. Красная Горбатка Селивановского района и здания детской юношеской спортивной школы Камешковского района. Продолжится устройство многофункциональных спортивных площадок для занятий физкультурой и спортом.</w:t>
      </w:r>
    </w:p>
    <w:p>
      <w:pPr>
        <w:pStyle w:val="0"/>
        <w:spacing w:before="200" w:line-rule="auto"/>
        <w:ind w:firstLine="540"/>
        <w:jc w:val="both"/>
      </w:pPr>
      <w:r>
        <w:rPr>
          <w:sz w:val="20"/>
        </w:rPr>
        <w:t xml:space="preserve">В сфере культуры должна быть продолжена реализация трех федеральных проектов - "Культурная среда", "Творческие люди" и "Цифровая культура" национального проекта "Культура".</w:t>
      </w:r>
    </w:p>
    <w:p>
      <w:pPr>
        <w:pStyle w:val="0"/>
        <w:spacing w:before="200" w:line-rule="auto"/>
        <w:ind w:firstLine="540"/>
        <w:jc w:val="both"/>
      </w:pPr>
      <w:r>
        <w:rPr>
          <w:sz w:val="20"/>
        </w:rPr>
        <w:t xml:space="preserve">Сохранена поддержка местных бюджетов в части мероприятий по созданию и модернизации учреждений культурно-досугового типа в сельской местности, укреплению их материально-технической базы, музеев, муниципального театра г. Александрова, по созданию модельных библиотек и виртуальных концертных залов. Также предусматривается обеспечение учреждений культуры специализированным автотранспортом для обслуживания населения, в том числе сельского населения.</w:t>
      </w:r>
    </w:p>
    <w:p>
      <w:pPr>
        <w:pStyle w:val="0"/>
        <w:spacing w:before="200" w:line-rule="auto"/>
        <w:ind w:firstLine="540"/>
        <w:jc w:val="both"/>
      </w:pPr>
      <w:r>
        <w:rPr>
          <w:sz w:val="20"/>
        </w:rPr>
        <w:t xml:space="preserve">Во исполнение Послания Президента Российской Федерации Федеральному Собранию Российской Федерации от 15 января 2020 года муниципальным детским школам искусств должны быть направлены средства на модернизацию путем их реконструкции и капитального ремонта. Также продолжится оснащение детских музыкальных школ и школ искусств музыкальными инструментами, оборудованием и учебными материалами.</w:t>
      </w:r>
    </w:p>
    <w:p>
      <w:pPr>
        <w:pStyle w:val="0"/>
        <w:spacing w:before="200" w:line-rule="auto"/>
        <w:ind w:firstLine="540"/>
        <w:jc w:val="both"/>
      </w:pPr>
      <w:r>
        <w:rPr>
          <w:sz w:val="20"/>
        </w:rPr>
        <w:t xml:space="preserve">Планируются расходы на укрепление материально-технической базы государственных учреждений культуры, на поддержку творческой деятельности и техническое оснащение областного театра кукол, развитие библиотечного дела, проведение музыкальных и театральных фестивалей, традиционных праздников, будут организованы выставочные проекты региональных музеев.</w:t>
      </w:r>
    </w:p>
    <w:p>
      <w:pPr>
        <w:pStyle w:val="0"/>
        <w:spacing w:before="200" w:line-rule="auto"/>
        <w:ind w:firstLine="540"/>
        <w:jc w:val="both"/>
      </w:pPr>
      <w:r>
        <w:rPr>
          <w:sz w:val="20"/>
        </w:rPr>
        <w:t xml:space="preserve">Продолжатся мероприятия по реставрации объектов культурного наследия Владимирской области.</w:t>
      </w:r>
    </w:p>
    <w:p>
      <w:pPr>
        <w:pStyle w:val="0"/>
        <w:spacing w:before="200" w:line-rule="auto"/>
        <w:ind w:firstLine="540"/>
        <w:jc w:val="both"/>
      </w:pPr>
      <w:r>
        <w:rPr>
          <w:sz w:val="20"/>
        </w:rPr>
        <w:t xml:space="preserve">Предусматриваются гранты на поддержку любительских творческих коллективов, реализацию творческих проектов на селе в сфере культуры и социально ориентированным некоммерческим организациям. Необходимо обеспечить проведение мероприятий по укреплению национального согласия, гармонизации национальных и межнациональных отношений, по развитию добровольчества и волонтерства.</w:t>
      </w:r>
    </w:p>
    <w:p>
      <w:pPr>
        <w:pStyle w:val="0"/>
        <w:spacing w:before="200" w:line-rule="auto"/>
        <w:ind w:firstLine="540"/>
        <w:jc w:val="both"/>
      </w:pPr>
      <w:r>
        <w:rPr>
          <w:sz w:val="20"/>
        </w:rPr>
        <w:t xml:space="preserve">Должно быть обеспечено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организаций дополнительного образования детей в сфере культуры. С 2021 года вводится социальная поддержка работников государственных и муниципальных организаций культуры при ипотечном жилищном кредитовании.</w:t>
      </w:r>
    </w:p>
    <w:p>
      <w:pPr>
        <w:pStyle w:val="0"/>
        <w:spacing w:before="200" w:line-rule="auto"/>
        <w:ind w:firstLine="540"/>
        <w:jc w:val="both"/>
      </w:pPr>
      <w:r>
        <w:rPr>
          <w:sz w:val="20"/>
        </w:rPr>
        <w:t xml:space="preserve">В соответствии с Указом Президента Российской Федерации от 29 января 2015 г. N 37 "О праздновании 1000-летия основания г. Суздаля Владимирской области" продолжится подготовка к празднованию в 2024 году 1000-летия основания г. Суздаля.</w:t>
      </w:r>
    </w:p>
    <w:p>
      <w:pPr>
        <w:pStyle w:val="0"/>
        <w:spacing w:before="200" w:line-rule="auto"/>
        <w:ind w:firstLine="540"/>
        <w:jc w:val="both"/>
      </w:pPr>
      <w:r>
        <w:rPr>
          <w:sz w:val="20"/>
        </w:rPr>
        <w:t xml:space="preserve">В сфере поддержки реального сектора экономики на предстоящий период приоритетом является финансирование национальных проектов. Это проекты по развитию дорог, сельского хозяйства, малого и среднего предпринимательства; по обеспечению доступным жильем и формированию комфортной городской среды, повышению производительности труда, развитию цифровой экономики, экологическому благополучию населения. С учетом привлечения средств федерального бюджета реализация данных проектов должна способствовать переходу экономики на качественно иные темпы развития, существенно улучшающие качество жизни населения.</w:t>
      </w:r>
    </w:p>
    <w:p>
      <w:pPr>
        <w:pStyle w:val="0"/>
        <w:spacing w:before="200" w:line-rule="auto"/>
        <w:ind w:firstLine="540"/>
        <w:jc w:val="both"/>
      </w:pPr>
      <w:r>
        <w:rPr>
          <w:sz w:val="20"/>
        </w:rPr>
        <w:t xml:space="preserve">В рамках реализации национального проекта "Безопасные и качественные автомобильные дороги" в 2021 - 2023 годах за счет средств дорожного фонда продолжится решение первоочередных задач, направленных на приведение в нормативное состояние дорожной сети Владимирской городской агломерации (к 2023 году - 80,9%), устранение мест концентрации дорожно-транспортных происшествий (к 2023 году - 58,3%). Запланировано доведение к 2023 году доли контрактов, предусматривающих использование новых технологий и материалов, до 66%, доли контрактов жизненного цикла по ремонту и последующему содержанию автомобильных дорог до 60%.</w:t>
      </w:r>
    </w:p>
    <w:p>
      <w:pPr>
        <w:pStyle w:val="0"/>
        <w:spacing w:before="200" w:line-rule="auto"/>
        <w:ind w:firstLine="540"/>
        <w:jc w:val="both"/>
      </w:pPr>
      <w:r>
        <w:rPr>
          <w:sz w:val="20"/>
        </w:rPr>
        <w:t xml:space="preserve">Объем расходов дорожного фонда Владимирской области формируется на основе прогнозов главных администраторов доходов об объемах поступлений в фонд, на величину которых влияет полнота учета протяженности дорог, объем реализации горюче-смазочных материалов, наличие автотранспортных средств в регионе. Средства фонда предусматриваются на содержание автомобильных дорог общего пользования, капитальный ремонт, строительство и развитие сети автомобильных дорог. Инфраструктурные проекты в части дорожного хозяйства должны быть реализованы с учетом выполнения поручения Президента Российской Федерации от 22 декабря 2012 г. N Пр-3410 об удвоении до 2022 года объемов дорожного строительства. Планируется ввод в эксплуатацию после реконструкции автомобильных дорог Василево - Курбатово в Киржачском районе, Кольчугино - Киржач в Кольчугинском районе, Коржавино - Большое Юрьево - Охеево в Муромском районе, продолжение строительства автодорог с твердым покрытием к сельским населенным пунктам, а также начало строительства обходов г. Александрова и г. Киржача.</w:t>
      </w:r>
    </w:p>
    <w:p>
      <w:pPr>
        <w:pStyle w:val="0"/>
        <w:spacing w:before="200" w:line-rule="auto"/>
        <w:ind w:firstLine="540"/>
        <w:jc w:val="both"/>
      </w:pPr>
      <w:r>
        <w:rPr>
          <w:sz w:val="20"/>
        </w:rPr>
        <w:t xml:space="preserve">Планируется оказание поддержки местным бюджетам на осуществление строительства, реконструкции, капитального ремонта и ремонта муниципальных автомобильных дорог, обеспечивающих транспортную доступность социальных объектов, а также мостов и путепроводов, находящихся в аварийном и предаварийном состоянии, расположенных на автомобильных дорогах местного значения.</w:t>
      </w:r>
    </w:p>
    <w:p>
      <w:pPr>
        <w:pStyle w:val="0"/>
        <w:spacing w:before="200" w:line-rule="auto"/>
        <w:ind w:firstLine="540"/>
        <w:jc w:val="both"/>
      </w:pPr>
      <w:r>
        <w:rPr>
          <w:sz w:val="20"/>
        </w:rPr>
        <w:t xml:space="preserve">В целях повышения безопасности дорожного движения запланированы модернизация искусственного освещения на автомобильных дорогах в населенных пунктах с устройством освещенных пешеходных переходов, дальнейшее развитие системы автоматической фиксации нарушений правил дорожного движения, внедрение элементов интеллектуальной транспортной системы во Владимирской области.</w:t>
      </w:r>
    </w:p>
    <w:p>
      <w:pPr>
        <w:pStyle w:val="0"/>
        <w:spacing w:before="200" w:line-rule="auto"/>
        <w:ind w:firstLine="540"/>
        <w:jc w:val="both"/>
      </w:pPr>
      <w:r>
        <w:rPr>
          <w:sz w:val="20"/>
        </w:rPr>
        <w:t xml:space="preserve">В рамках реализации мероприятий по развитию рынка газомоторного топлива предусмотрено строительство автомобильных газонаполнительных компрессорных станций и переоборудование автомобильной техники на использование природного газа в качестве моторного топлива.</w:t>
      </w:r>
    </w:p>
    <w:p>
      <w:pPr>
        <w:pStyle w:val="0"/>
        <w:spacing w:before="200" w:line-rule="auto"/>
        <w:ind w:firstLine="540"/>
        <w:jc w:val="both"/>
      </w:pPr>
      <w:r>
        <w:rPr>
          <w:sz w:val="20"/>
        </w:rPr>
        <w:t xml:space="preserve">Расходы на организацию транспортного обслуживания населения должны обеспечить сохранение доступности проезда автомобильным транспортом в межмуниципальном и пригородном сообщении, железнодорожным транспортом в пригородном сообщении, в том числе оказание адресной социальной поддержки отдельным категориям граждан, обеспечение антитеррористической защищенности вокзалов, автостанций.</w:t>
      </w:r>
    </w:p>
    <w:p>
      <w:pPr>
        <w:pStyle w:val="0"/>
        <w:spacing w:before="200" w:line-rule="auto"/>
        <w:ind w:firstLine="540"/>
        <w:jc w:val="both"/>
      </w:pPr>
      <w:r>
        <w:rPr>
          <w:sz w:val="20"/>
        </w:rPr>
        <w:t xml:space="preserve">Направления государственной поддержки сельского хозяйства определены исходя из целей и задач, определенных </w:t>
      </w:r>
      <w:hyperlink w:history="0" r:id="rId62" w:tooltip="Распоряжение Правительства РФ от 12.04.2020 N 993-р &lt;Об утверждении Стратегии развития агропромышленного и рыбохозяйственного комплексов Российской Федерации на период до 2030 года&gt; ------------ Утратил силу или отменен {КонсультантПлюс}">
        <w:r>
          <w:rPr>
            <w:sz w:val="20"/>
            <w:color w:val="0000ff"/>
          </w:rPr>
          <w:t xml:space="preserve">стратегией</w:t>
        </w:r>
      </w:hyperlink>
      <w:r>
        <w:rPr>
          <w:sz w:val="20"/>
        </w:rPr>
        <w:t xml:space="preserve"> развития агропромышленного комплекса до 2030 года, утвержденной распоряжением Правительства Российской Федерации от 12 апреля 2020 г. N 993-р.</w:t>
      </w:r>
    </w:p>
    <w:p>
      <w:pPr>
        <w:pStyle w:val="0"/>
        <w:spacing w:before="200" w:line-rule="auto"/>
        <w:ind w:firstLine="540"/>
        <w:jc w:val="both"/>
      </w:pPr>
      <w:r>
        <w:rPr>
          <w:sz w:val="20"/>
        </w:rPr>
        <w:t xml:space="preserve">В основу стратегического развития сельского хозяйства положено повышение качества жизни людей на селе.</w:t>
      </w:r>
    </w:p>
    <w:p>
      <w:pPr>
        <w:pStyle w:val="0"/>
        <w:spacing w:before="200" w:line-rule="auto"/>
        <w:ind w:firstLine="540"/>
        <w:jc w:val="both"/>
      </w:pPr>
      <w:r>
        <w:rPr>
          <w:sz w:val="20"/>
        </w:rPr>
        <w:t xml:space="preserve">Мероприятия, направленные на повышение занятости и благосостояния сельского населения, развитие социальной и инженерной инфраструктуры, должны быть реализованы в рамках государственной программы "Комплексное развитие сельских территорий Владимирской области" и регионального проекта "Создание системы поддержки фермеров и развитие сельской кооперации".</w:t>
      </w:r>
    </w:p>
    <w:p>
      <w:pPr>
        <w:pStyle w:val="0"/>
        <w:spacing w:before="200" w:line-rule="auto"/>
        <w:ind w:firstLine="540"/>
        <w:jc w:val="both"/>
      </w:pPr>
      <w:r>
        <w:rPr>
          <w:sz w:val="20"/>
        </w:rPr>
        <w:t xml:space="preserve">В отдельное приоритетное направление выделено воспроизводство плодородия почв. Мероприятия для его реализации включены в отдельную государственную программу эффективного вовлечения в оборот земель сельскохозяйственного назначения и развития мелиоративного комплекса, планируемую к принятию в ближайшее время на федеральном уровне.</w:t>
      </w:r>
    </w:p>
    <w:p>
      <w:pPr>
        <w:pStyle w:val="0"/>
        <w:spacing w:before="200" w:line-rule="auto"/>
        <w:ind w:firstLine="540"/>
        <w:jc w:val="both"/>
      </w:pPr>
      <w:r>
        <w:rPr>
          <w:sz w:val="20"/>
        </w:rPr>
        <w:t xml:space="preserve">В развитии сельскохозяйственного производства особый акцент сделан на увеличение физического объема инвестиций в отрасль. Это связано с необходимостью внедрения новых технологий, увеличения уровня переработки сельскохозяйственной продукции, стимулирования развития логистических цепочек для реализации сельскохозяйственной продукции и продовольствия.</w:t>
      </w:r>
    </w:p>
    <w:p>
      <w:pPr>
        <w:pStyle w:val="0"/>
        <w:spacing w:before="200" w:line-rule="auto"/>
        <w:ind w:firstLine="540"/>
        <w:jc w:val="both"/>
      </w:pPr>
      <w:r>
        <w:rPr>
          <w:sz w:val="20"/>
        </w:rPr>
        <w:t xml:space="preserve">Для решения указанной задачи в рамках государственной программы развития агропромышленного комплекса области и регионального проекта "Экспорт продукции АПК" планируются мероприятия по стимулированию обновления основных фондов, обеспечению доступности льготных кредитных ресурсов и льготного лизинга для сельскохозяйственных товаропроизводителей.</w:t>
      </w:r>
    </w:p>
    <w:p>
      <w:pPr>
        <w:pStyle w:val="0"/>
        <w:spacing w:before="200" w:line-rule="auto"/>
        <w:ind w:firstLine="540"/>
        <w:jc w:val="both"/>
      </w:pPr>
      <w:r>
        <w:rPr>
          <w:sz w:val="20"/>
        </w:rPr>
        <w:t xml:space="preserve">Государственная поддержка малого и среднего предпринимательства в рамках национального проекта "Малое и среднее предпринимательство и поддержка индивидуальной предпринимательской инициативы" должна быть направлена на:</w:t>
      </w:r>
    </w:p>
    <w:p>
      <w:pPr>
        <w:pStyle w:val="0"/>
        <w:spacing w:before="200" w:line-rule="auto"/>
        <w:ind w:firstLine="540"/>
        <w:jc w:val="both"/>
      </w:pPr>
      <w:r>
        <w:rPr>
          <w:sz w:val="20"/>
        </w:rPr>
        <w:t xml:space="preserve">- оказание организационной, информационной, имущественной и финансовой поддержки организациями инфраструктуры поддержки малого и среднего предпринимательства;</w:t>
      </w:r>
    </w:p>
    <w:p>
      <w:pPr>
        <w:pStyle w:val="0"/>
        <w:spacing w:before="200" w:line-rule="auto"/>
        <w:ind w:firstLine="540"/>
        <w:jc w:val="both"/>
      </w:pPr>
      <w:r>
        <w:rPr>
          <w:sz w:val="20"/>
        </w:rPr>
        <w:t xml:space="preserve">- дальнейшее развитие системы микрокредитования субъектов малого и среднего бизнеса и деятельности гарантийного фонда для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финансовым ресурсам;</w:t>
      </w:r>
    </w:p>
    <w:p>
      <w:pPr>
        <w:pStyle w:val="0"/>
        <w:spacing w:before="200" w:line-rule="auto"/>
        <w:ind w:firstLine="540"/>
        <w:jc w:val="both"/>
      </w:pPr>
      <w:r>
        <w:rPr>
          <w:sz w:val="20"/>
        </w:rPr>
        <w:t xml:space="preserve">- поддержку муниципальных программ развития малого и среднего бизнеса путем предоставления субсидий из областного бюджета монопрофильным муниципальным образованиям;</w:t>
      </w:r>
    </w:p>
    <w:p>
      <w:pPr>
        <w:pStyle w:val="0"/>
        <w:spacing w:before="200" w:line-rule="auto"/>
        <w:ind w:firstLine="540"/>
        <w:jc w:val="both"/>
      </w:pPr>
      <w:r>
        <w:rPr>
          <w:sz w:val="20"/>
        </w:rPr>
        <w:t xml:space="preserve">- формирование положительного образа предпринимателя и вовлечение в предпринимательскую деятельность;</w:t>
      </w:r>
    </w:p>
    <w:p>
      <w:pPr>
        <w:pStyle w:val="0"/>
        <w:spacing w:before="200" w:line-rule="auto"/>
        <w:ind w:firstLine="540"/>
        <w:jc w:val="both"/>
      </w:pPr>
      <w:r>
        <w:rPr>
          <w:sz w:val="20"/>
        </w:rPr>
        <w:t xml:space="preserve">- содействие заключению субъектами малого и среднего предпринимательства договоров на поставку товаров, работ, услуг за пределы территории Российской Федерации;</w:t>
      </w:r>
    </w:p>
    <w:p>
      <w:pPr>
        <w:pStyle w:val="0"/>
        <w:spacing w:before="200" w:line-rule="auto"/>
        <w:ind w:firstLine="540"/>
        <w:jc w:val="both"/>
      </w:pPr>
      <w:r>
        <w:rPr>
          <w:sz w:val="20"/>
        </w:rPr>
        <w:t xml:space="preserve">- предоставление субсидий управляющим компаниям на создание и (или) развитие промышленного (индустриального) парка, агропромышленного парка в целях обеспечения льготного доступа субъектов малого и среднего предпринимательства к производственным площадям и помещениям.</w:t>
      </w:r>
    </w:p>
    <w:p>
      <w:pPr>
        <w:pStyle w:val="0"/>
        <w:spacing w:before="200" w:line-rule="auto"/>
        <w:ind w:firstLine="540"/>
        <w:jc w:val="both"/>
      </w:pPr>
      <w:r>
        <w:rPr>
          <w:sz w:val="20"/>
        </w:rPr>
        <w:t xml:space="preserve">Кроме того, предусматривается реализация мероприятий, не софинансируемых из федерального бюджета:</w:t>
      </w:r>
    </w:p>
    <w:p>
      <w:pPr>
        <w:pStyle w:val="0"/>
        <w:spacing w:before="200" w:line-rule="auto"/>
        <w:ind w:firstLine="540"/>
        <w:jc w:val="both"/>
      </w:pPr>
      <w:r>
        <w:rPr>
          <w:sz w:val="20"/>
        </w:rPr>
        <w:t xml:space="preserve">- субсидия региональному фонду развития промышленности на предоставление займов хозяйствующим субъектам малого и среднего предпринимательства в сфере промышленности;</w:t>
      </w:r>
    </w:p>
    <w:p>
      <w:pPr>
        <w:pStyle w:val="0"/>
        <w:spacing w:before="200" w:line-rule="auto"/>
        <w:ind w:firstLine="540"/>
        <w:jc w:val="both"/>
      </w:pPr>
      <w:r>
        <w:rPr>
          <w:sz w:val="20"/>
        </w:rPr>
        <w:t xml:space="preserve">- субсидия ГАУ "Бизнес-инкубатор" на оказание субъектам малого и среднего предпринимательства имущественной, информационной, консультационной поддержки;</w:t>
      </w:r>
    </w:p>
    <w:p>
      <w:pPr>
        <w:pStyle w:val="0"/>
        <w:spacing w:before="200" w:line-rule="auto"/>
        <w:ind w:firstLine="540"/>
        <w:jc w:val="both"/>
      </w:pPr>
      <w:r>
        <w:rPr>
          <w:sz w:val="20"/>
        </w:rPr>
        <w:t xml:space="preserve">- субсидирование Центра экспорта и Центра "Мой бизнес" для оказания услуг субъектам малого и среднего предпринимательства;</w:t>
      </w:r>
    </w:p>
    <w:p>
      <w:pPr>
        <w:pStyle w:val="0"/>
        <w:spacing w:before="200" w:line-rule="auto"/>
        <w:ind w:firstLine="540"/>
        <w:jc w:val="both"/>
      </w:pPr>
      <w:r>
        <w:rPr>
          <w:sz w:val="20"/>
        </w:rPr>
        <w:t xml:space="preserve">- субсидия монопрофильным муниципальным образованиям для компенсации субъектам малого и среднего бизнеса затрат на лизинг.</w:t>
      </w:r>
    </w:p>
    <w:p>
      <w:pPr>
        <w:pStyle w:val="0"/>
        <w:spacing w:before="200" w:line-rule="auto"/>
        <w:ind w:firstLine="540"/>
        <w:jc w:val="both"/>
      </w:pPr>
      <w:r>
        <w:rPr>
          <w:sz w:val="20"/>
        </w:rPr>
        <w:t xml:space="preserve">В сфере занятости населения продолжится реализация мероприятий в рамках национальных проектов "Производительность труда и поддержка занятости" и "Демография".</w:t>
      </w:r>
    </w:p>
    <w:p>
      <w:pPr>
        <w:pStyle w:val="0"/>
        <w:spacing w:before="200" w:line-rule="auto"/>
        <w:ind w:firstLine="540"/>
        <w:jc w:val="both"/>
      </w:pPr>
      <w:r>
        <w:rPr>
          <w:sz w:val="20"/>
        </w:rPr>
        <w:t xml:space="preserve">Необходимо продолжить работу на базе созданной некоммерческой организации "Региональный центр компетенций в сфере производительности труда Владимирской области" по обучению сотрудников предприятий методам повышения производительности труда с использованием инструментов - площадок, имитирующих реальные производственные процессы, бережливого производства с повышением выработки в потоке-образце.</w:t>
      </w:r>
    </w:p>
    <w:p>
      <w:pPr>
        <w:pStyle w:val="0"/>
        <w:spacing w:before="200" w:line-rule="auto"/>
        <w:ind w:firstLine="540"/>
        <w:jc w:val="both"/>
      </w:pPr>
      <w:r>
        <w:rPr>
          <w:sz w:val="20"/>
        </w:rPr>
        <w:t xml:space="preserve">В целях обеспечения роста производительности труда предусмотрено направление бюджетных средств на переобучение и повышение квалификации работников предприятий региона.</w:t>
      </w:r>
    </w:p>
    <w:p>
      <w:pPr>
        <w:pStyle w:val="0"/>
        <w:spacing w:before="200" w:line-rule="auto"/>
        <w:ind w:firstLine="540"/>
        <w:jc w:val="both"/>
      </w:pPr>
      <w:r>
        <w:rPr>
          <w:sz w:val="20"/>
        </w:rPr>
        <w:t xml:space="preserve">Планируется организация переобучения и повышения квалификации женщин в период отпуска по уходу за ребенком до трех лет и женщин, имеющих детей дошкольного возраста. Следует продолжить мероприятия по поддержке занятости старшего поколения. Предусматривается проведение профессионального обучения и дополнительного профессионального образования лиц предпенсионного возраста и старше в целях повышения конкурентоспособности этой категории граждан на рынке труда.</w:t>
      </w:r>
    </w:p>
    <w:p>
      <w:pPr>
        <w:pStyle w:val="0"/>
        <w:spacing w:before="200" w:line-rule="auto"/>
        <w:ind w:firstLine="540"/>
        <w:jc w:val="both"/>
      </w:pPr>
      <w:r>
        <w:rPr>
          <w:sz w:val="20"/>
        </w:rPr>
        <w:t xml:space="preserve">В рамках социальной поддержки незанятого населения продолжится осуществление социальных выплат гражданам, признанным в установленном порядке безработными.</w:t>
      </w:r>
    </w:p>
    <w:p>
      <w:pPr>
        <w:pStyle w:val="0"/>
        <w:spacing w:before="200" w:line-rule="auto"/>
        <w:ind w:firstLine="540"/>
        <w:jc w:val="both"/>
      </w:pPr>
      <w:r>
        <w:rPr>
          <w:sz w:val="20"/>
        </w:rPr>
        <w:t xml:space="preserve">Продолжится проведение мероприятий по содействию занятости инвалидов, направленных на повышение заинтересованности работодателей в оснащении рабочих мест.</w:t>
      </w:r>
    </w:p>
    <w:p>
      <w:pPr>
        <w:pStyle w:val="0"/>
        <w:spacing w:before="200" w:line-rule="auto"/>
        <w:ind w:firstLine="540"/>
        <w:jc w:val="both"/>
      </w:pPr>
      <w:r>
        <w:rPr>
          <w:sz w:val="20"/>
        </w:rPr>
        <w:t xml:space="preserve">В целях обеспечения занятости молодежи планируется проведение мероприятий по профессиональной ориентации и организация стажировок для выпускников профессиональных образовательных учреждений.</w:t>
      </w:r>
    </w:p>
    <w:p>
      <w:pPr>
        <w:pStyle w:val="0"/>
        <w:spacing w:before="200" w:line-rule="auto"/>
        <w:ind w:firstLine="540"/>
        <w:jc w:val="both"/>
      </w:pPr>
      <w:r>
        <w:rPr>
          <w:sz w:val="20"/>
        </w:rPr>
        <w:t xml:space="preserve">Привлечению трудовых ресурсов должны способствовать меры по оказанию содействия добровольному переселению в область соотечественников и членов их семей, проживающих за рубежом.</w:t>
      </w:r>
    </w:p>
    <w:p>
      <w:pPr>
        <w:pStyle w:val="0"/>
        <w:spacing w:before="200" w:line-rule="auto"/>
        <w:ind w:firstLine="540"/>
        <w:jc w:val="both"/>
      </w:pPr>
      <w:r>
        <w:rPr>
          <w:sz w:val="20"/>
        </w:rPr>
        <w:t xml:space="preserve">Для повышения качества оказываемых государственных услуг в сфере занятости населения будет реализована программа по повышению эффективности деятельности центров занятости области.</w:t>
      </w:r>
    </w:p>
    <w:p>
      <w:pPr>
        <w:pStyle w:val="0"/>
        <w:spacing w:before="200" w:line-rule="auto"/>
        <w:ind w:firstLine="540"/>
        <w:jc w:val="both"/>
      </w:pPr>
      <w:r>
        <w:rPr>
          <w:sz w:val="20"/>
        </w:rPr>
        <w:t xml:space="preserve">В сфере туризма продолжится работа по проведению комплекса мероприятий, направленных на повышение конкурентоспособности туристского рынка Владимирской области.</w:t>
      </w:r>
    </w:p>
    <w:p>
      <w:pPr>
        <w:pStyle w:val="0"/>
        <w:spacing w:before="200" w:line-rule="auto"/>
        <w:ind w:firstLine="540"/>
        <w:jc w:val="both"/>
      </w:pPr>
      <w:r>
        <w:rPr>
          <w:sz w:val="20"/>
        </w:rPr>
        <w:t xml:space="preserve">Бюджетная политика в области жилищно-коммунального хозяйства будет реализовываться в рамках национальных проектов "Жилье и городская среда" и "Экология".</w:t>
      </w:r>
    </w:p>
    <w:p>
      <w:pPr>
        <w:pStyle w:val="0"/>
        <w:spacing w:before="200" w:line-rule="auto"/>
        <w:ind w:firstLine="540"/>
        <w:jc w:val="both"/>
      </w:pPr>
      <w:r>
        <w:rPr>
          <w:sz w:val="20"/>
        </w:rPr>
        <w:t xml:space="preserve">В целях обеспечения устойчивого сокращения непригодного для проживания жилищного фонда планируется направление поддержки муниципальным образованиям на условиях, определенных Государственной корпорацией - Фондом содействия реформированию жилищно-коммунального хозяйства. За трехлетний период из непригодного для проживания жилищного фонда должно быть расселено 66 тыс. кв. м аварийного жилья и переселено 3,8 тыс. человек.</w:t>
      </w:r>
    </w:p>
    <w:p>
      <w:pPr>
        <w:pStyle w:val="0"/>
        <w:spacing w:before="200" w:line-rule="auto"/>
        <w:ind w:firstLine="540"/>
        <w:jc w:val="both"/>
      </w:pPr>
      <w:r>
        <w:rPr>
          <w:sz w:val="20"/>
        </w:rPr>
        <w:t xml:space="preserve">В сфере развития жилищного строительства и ипотечного кредитования средства бюджета планируется направить на приобретение и строительство социального жилья для малоимущих граждан, детей-сирот и детей, оставшихся без попечения родителей, предоставление выплат и субсидий различным категориям - молодым семьям, ветеранам, ветеранам войны и боевых действий, инвалидам, семьям с детьми-инвалидами, многодетным семьям, работникам бюджетной сферы, молодым специалистам и гражданам, проживающим на селе.</w:t>
      </w:r>
    </w:p>
    <w:p>
      <w:pPr>
        <w:pStyle w:val="0"/>
        <w:spacing w:before="200" w:line-rule="auto"/>
        <w:ind w:firstLine="540"/>
        <w:jc w:val="both"/>
      </w:pPr>
      <w:r>
        <w:rPr>
          <w:sz w:val="20"/>
        </w:rPr>
        <w:t xml:space="preserve">Предусматривается компенсация расходов по ипотечным жилищным кредитам для работников бюджетной сферы, в том числе для молодых учителей, врачей и среднего медицинского персонала, а с 2021 года - для работников культуры.</w:t>
      </w:r>
    </w:p>
    <w:p>
      <w:pPr>
        <w:pStyle w:val="0"/>
        <w:spacing w:before="200" w:line-rule="auto"/>
        <w:ind w:firstLine="540"/>
        <w:jc w:val="both"/>
      </w:pPr>
      <w:r>
        <w:rPr>
          <w:sz w:val="20"/>
        </w:rPr>
        <w:t xml:space="preserve">При условии снижения объема погашения задолженности по бюджетным кредитам, предоставленным из федерального бюджета, высвободившиеся средства планируется направить на реализацию новых инвестиционных проектов в сфере ЖКХ, а также в объекты капитального строительства в рамках реализации национальных проектов (программ), в том числе жилищного строительства.</w:t>
      </w:r>
    </w:p>
    <w:p>
      <w:pPr>
        <w:pStyle w:val="0"/>
        <w:spacing w:before="200" w:line-rule="auto"/>
        <w:ind w:firstLine="540"/>
        <w:jc w:val="both"/>
      </w:pPr>
      <w:r>
        <w:rPr>
          <w:sz w:val="20"/>
        </w:rPr>
        <w:t xml:space="preserve">Средства на функционирование регионального оператора - некоммерческой организации "Фонд капитального ремонта многоквартирных домов" направляются в целях улучшения состояния жилищного фонда в рамках региональной программы капитального ремонта многоквартирных домов до 2043 года. Указанной программой на 2021 - 2023 годы предусмотрено отремонтировать общее имущество в более чем 660 домах.</w:t>
      </w:r>
    </w:p>
    <w:p>
      <w:pPr>
        <w:pStyle w:val="0"/>
        <w:spacing w:before="200" w:line-rule="auto"/>
        <w:ind w:firstLine="540"/>
        <w:jc w:val="both"/>
      </w:pPr>
      <w:r>
        <w:rPr>
          <w:sz w:val="20"/>
        </w:rPr>
        <w:t xml:space="preserve">Бюджетные ассигнования на создание комфортной городской среды направлены на повышение индекса качества городской среды, увеличение числа городов с благоприятной средой. В 2021 - 2023 годах должно быть обеспечено выполнение мероприятий по благоустройству с учетом мнения горожан 138 общественных территорий, мест массового отдыха (городских парков).</w:t>
      </w:r>
    </w:p>
    <w:p>
      <w:pPr>
        <w:pStyle w:val="0"/>
        <w:spacing w:before="200" w:line-rule="auto"/>
        <w:ind w:firstLine="540"/>
        <w:jc w:val="both"/>
      </w:pPr>
      <w:r>
        <w:rPr>
          <w:sz w:val="20"/>
        </w:rPr>
        <w:t xml:space="preserve">Повышение качества питьевой воды для населения в рамках федерального проекта "Чистая вода" следует осуществлять посредством развития и модернизации систем водоснабжения с использованием перспективных технологий. В трехлетний период планируется осуществить строительство (реконструкцию) 21 объекта.</w:t>
      </w:r>
    </w:p>
    <w:p>
      <w:pPr>
        <w:pStyle w:val="0"/>
        <w:spacing w:before="200" w:line-rule="auto"/>
        <w:ind w:firstLine="540"/>
        <w:jc w:val="both"/>
      </w:pPr>
      <w:r>
        <w:rPr>
          <w:sz w:val="20"/>
        </w:rPr>
        <w:t xml:space="preserve">Предусматривается продолжение модернизации коммунальной инфраструктуры, направленной на строительство, реконструкцию и модернизацию сетей теплоснабжения и водоснабжения, а также проведение газификации и водоснабжения в сельской местности.</w:t>
      </w:r>
    </w:p>
    <w:p>
      <w:pPr>
        <w:pStyle w:val="0"/>
        <w:spacing w:before="200" w:line-rule="auto"/>
        <w:ind w:firstLine="540"/>
        <w:jc w:val="both"/>
      </w:pPr>
      <w:r>
        <w:rPr>
          <w:sz w:val="20"/>
        </w:rPr>
        <w:t xml:space="preserve">В целях выполнения </w:t>
      </w:r>
      <w:hyperlink w:history="0" r:id="rId63" w:tooltip="Указ Президента РФ от 07.05.2012 N 600 &quot;О мерах по обеспечению граждан Российской Федерации доступным и комфортным жильем и повышению качества жилищно-коммунальных услуг&quot; {КонсультантПлюс}">
        <w:r>
          <w:rPr>
            <w:sz w:val="20"/>
            <w:color w:val="0000ff"/>
          </w:rPr>
          <w:t xml:space="preserve">Указа</w:t>
        </w:r>
      </w:hyperlink>
      <w:r>
        <w:rPr>
          <w:sz w:val="20"/>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продолжится обустройство коммунальной и транспортной инфраструктурой участков, предоставленных для жилищного строительства семьям, имеющим трех и более детей.</w:t>
      </w:r>
    </w:p>
    <w:p>
      <w:pPr>
        <w:pStyle w:val="0"/>
        <w:spacing w:before="200" w:line-rule="auto"/>
        <w:ind w:firstLine="540"/>
        <w:jc w:val="both"/>
      </w:pPr>
      <w:r>
        <w:rPr>
          <w:sz w:val="20"/>
        </w:rPr>
        <w:t xml:space="preserve">Для обеспечения доступности использования природного газа для бытовых нужд планируется компенсация стоимости выполнения работ по подготовке внутридомового газового оборудования жителям области, в том числе ветеранам Великой Отечественной войны, инвалидам и семьям, имеющим детей-инвалидов, пенсионерам, многодетным семьям.</w:t>
      </w:r>
    </w:p>
    <w:p>
      <w:pPr>
        <w:pStyle w:val="0"/>
        <w:spacing w:before="200" w:line-rule="auto"/>
        <w:ind w:firstLine="540"/>
        <w:jc w:val="both"/>
      </w:pPr>
      <w:r>
        <w:rPr>
          <w:sz w:val="20"/>
        </w:rPr>
        <w:t xml:space="preserve">В рамках программы энергосбережения планируется продолжение модернизации уличного освещения с применением энергосберегающих систем, реконструкция котельных с целью закрытия нерентабельных и перевод котельных с применением твердого топлива на использование природного газа, строительство и модернизация объектов теплоснабжения.</w:t>
      </w:r>
    </w:p>
    <w:p>
      <w:pPr>
        <w:pStyle w:val="0"/>
        <w:spacing w:before="200" w:line-rule="auto"/>
        <w:ind w:firstLine="540"/>
        <w:jc w:val="both"/>
      </w:pPr>
      <w:r>
        <w:rPr>
          <w:sz w:val="20"/>
        </w:rPr>
        <w:t xml:space="preserve">В области капитального строительства бюджетная политика должна быть направлена на приоритетное обеспечение финансированием капитальных вложений, осуществляемых в рамках реализации национальных проектов, а также объектов, находящихся в стадии завершения, значимых объектов для социально-экономического развития региона, объектов, строящихся с привлечением средств федерального бюджета.</w:t>
      </w:r>
    </w:p>
    <w:p>
      <w:pPr>
        <w:pStyle w:val="0"/>
        <w:spacing w:before="200" w:line-rule="auto"/>
        <w:ind w:firstLine="540"/>
        <w:jc w:val="both"/>
      </w:pPr>
      <w:r>
        <w:rPr>
          <w:sz w:val="20"/>
        </w:rPr>
        <w:t xml:space="preserve">Повышению качества планирования бюджетных ассигнований на осуществление капитальных вложений должно способствовать создание нормативно-правовой базы по формированию областной инвестиционной программы.</w:t>
      </w:r>
    </w:p>
    <w:p>
      <w:pPr>
        <w:pStyle w:val="0"/>
        <w:spacing w:before="200" w:line-rule="auto"/>
        <w:ind w:firstLine="540"/>
        <w:jc w:val="both"/>
      </w:pPr>
      <w:r>
        <w:rPr>
          <w:sz w:val="20"/>
        </w:rPr>
        <w:t xml:space="preserve">В целях исключения неоправданного удорожания стоимости строительства планирование бюджетных ассигнований на капитальные вложения и бюджетные инвестиции, предоставление субсидий бюджетам муниципальных образований на софинансирование строительства (реконструкции) объектов муниципальной собственности и приобретение объектов недвижимого имущества на 2021 - 2023 годы должно осуществляться исключительно при наличии актуализированной проектно-сметной документации, положительного заключения государственной экспертизы, принятых решений о выделении земельных участков под строительство, разработанных и утвержденных графиков выполнения работ. Капитальные расходы должны быть включены в проект областного бюджета при наличии подтверждения департаментом архитектуры и строительства области полноты и актуальности проектно-сметной документации по каждому объекту.</w:t>
      </w:r>
    </w:p>
    <w:p>
      <w:pPr>
        <w:pStyle w:val="0"/>
        <w:spacing w:before="200" w:line-rule="auto"/>
        <w:ind w:firstLine="540"/>
        <w:jc w:val="both"/>
      </w:pPr>
      <w:r>
        <w:rPr>
          <w:sz w:val="20"/>
        </w:rPr>
        <w:t xml:space="preserve">В целях прозрачности и оптимизации процедур предоставления земельных участков под строительство необходимо завершить формирование цифровой среды градостроительной деятельности.</w:t>
      </w:r>
    </w:p>
    <w:p>
      <w:pPr>
        <w:pStyle w:val="0"/>
        <w:spacing w:before="200" w:line-rule="auto"/>
        <w:ind w:firstLine="540"/>
        <w:jc w:val="both"/>
      </w:pPr>
      <w:r>
        <w:rPr>
          <w:sz w:val="20"/>
        </w:rPr>
        <w:t xml:space="preserve">Планирование расходов на капитальный ремонт объектов областной собственности должно осуществляться при наличии утвержденной проектной документации с положительным заключением государственной экспертизы по состоянию на 1 августа текущего года.</w:t>
      </w:r>
    </w:p>
    <w:p>
      <w:pPr>
        <w:pStyle w:val="0"/>
        <w:spacing w:before="200" w:line-rule="auto"/>
        <w:ind w:firstLine="540"/>
        <w:jc w:val="both"/>
      </w:pPr>
      <w:r>
        <w:rPr>
          <w:sz w:val="20"/>
        </w:rPr>
        <w:t xml:space="preserve">Приоритеты в области охраны окружающей среды нашли отражение в утвержденных в федеральных и региональных проектах "Сохранение лесов", "Чистая вода", "Сохранение уникальных водных объектов", "Чистая страна", "Комплексная система обращения с твердыми коммунальными отходами" (национальный проект "Экология").</w:t>
      </w:r>
    </w:p>
    <w:p>
      <w:pPr>
        <w:pStyle w:val="0"/>
        <w:spacing w:before="200" w:line-rule="auto"/>
        <w:ind w:firstLine="540"/>
        <w:jc w:val="both"/>
      </w:pPr>
      <w:r>
        <w:rPr>
          <w:sz w:val="20"/>
        </w:rPr>
        <w:t xml:space="preserve">В рамках регионального проекта "Сохранение лесов" запланированы лесовосстановительные и лесоохранные мероприятия в целях достижения к 2024 году 100-процентного соотношения выбытия и воспроизводства лесов.</w:t>
      </w:r>
    </w:p>
    <w:p>
      <w:pPr>
        <w:pStyle w:val="0"/>
        <w:spacing w:before="200" w:line-rule="auto"/>
        <w:ind w:firstLine="540"/>
        <w:jc w:val="both"/>
      </w:pPr>
      <w:r>
        <w:rPr>
          <w:sz w:val="20"/>
        </w:rPr>
        <w:t xml:space="preserve">В целях повышения качества и безопасности питьевой воды в рамках регионального проекта "Чистая вода" бюджетные ассигнования планируется направить на строительство, реконструкцию (модернизацию) объектов питьевого водоснабжения и водоподготовки.</w:t>
      </w:r>
    </w:p>
    <w:p>
      <w:pPr>
        <w:pStyle w:val="0"/>
        <w:spacing w:before="200" w:line-rule="auto"/>
        <w:ind w:firstLine="540"/>
        <w:jc w:val="both"/>
      </w:pPr>
      <w:r>
        <w:rPr>
          <w:sz w:val="20"/>
        </w:rPr>
        <w:t xml:space="preserve">В рамках регионального проекта "Чистая страна" предусмотрено проведение рекультивации свалок твердых бытовых отходов.</w:t>
      </w:r>
    </w:p>
    <w:p>
      <w:pPr>
        <w:pStyle w:val="0"/>
        <w:spacing w:before="200" w:line-rule="auto"/>
        <w:ind w:firstLine="540"/>
        <w:jc w:val="both"/>
      </w:pPr>
      <w:r>
        <w:rPr>
          <w:sz w:val="20"/>
        </w:rPr>
        <w:t xml:space="preserve">Природоохранные мероприятия в области развития водного хозяйства области и реализации регионального проекта "Сохранение уникальных водных объектов" в областном бюджете должны быть представлены расходами на восстановление водных объектов, строительство очистных сооружений на малых реках области и обеспечение безопасности гидротехнических сооружений.</w:t>
      </w:r>
    </w:p>
    <w:p>
      <w:pPr>
        <w:pStyle w:val="0"/>
        <w:spacing w:before="200" w:line-rule="auto"/>
        <w:ind w:firstLine="540"/>
        <w:jc w:val="both"/>
      </w:pPr>
      <w:r>
        <w:rPr>
          <w:sz w:val="20"/>
        </w:rPr>
        <w:t xml:space="preserve">В отдельный блок следует выделить расходы областного бюджета на сохранение и восстановление уникальных природных комплексов на особо охраняемых природных территориях области, которые занимают 11,8% от общей площади территории области. Одним из перспективных направлений использования указанных природных комплексов признано развитие экологического туризма, который является одним из направлений воспитания бережного отношения населения к природе и формирования у граждан норм экологического поведения;</w:t>
      </w:r>
    </w:p>
    <w:p>
      <w:pPr>
        <w:pStyle w:val="0"/>
        <w:spacing w:before="200" w:line-rule="auto"/>
        <w:ind w:firstLine="540"/>
        <w:jc w:val="both"/>
      </w:pPr>
      <w:r>
        <w:rPr>
          <w:sz w:val="20"/>
        </w:rPr>
        <w:t xml:space="preserve">- ограничение использования средств вакантного фонда на премирование работников выше 10%.</w:t>
      </w:r>
    </w:p>
    <w:p>
      <w:pPr>
        <w:pStyle w:val="0"/>
        <w:spacing w:before="200" w:line-rule="auto"/>
        <w:ind w:firstLine="540"/>
        <w:jc w:val="both"/>
      </w:pPr>
      <w:r>
        <w:rPr>
          <w:sz w:val="20"/>
        </w:rPr>
        <w:t xml:space="preserve">При расчете объема бюджетных ассигнований на содержание департамента ветеринарии необходимо учесть положения Федерального </w:t>
      </w:r>
      <w:hyperlink w:history="0" r:id="rId64" w:tooltip="Федеральный закон от 27.12.2019 N 447-ФЗ &quot;О внесении изменений в отдельные законодательные акты Российской Федерации по вопросам совершенствования осуществления федерального государственного ветеринарного надзора&quot; ------------ Недействующая редакция {КонсультантПлюс}">
        <w:r>
          <w:rPr>
            <w:sz w:val="20"/>
            <w:color w:val="0000ff"/>
          </w:rPr>
          <w:t xml:space="preserve">закона</w:t>
        </w:r>
      </w:hyperlink>
      <w:r>
        <w:rPr>
          <w:sz w:val="20"/>
        </w:rPr>
        <w:t xml:space="preserve"> от 27 декабря 2019 г. N 447-ФЗ "О внесении изменений в отдельные законодательные акты Российской Федерации по вопросам совершенствования осуществления федерального государственного ветеринарного надзора" в части упразднения полномочий субъектов Российской Федерации в области регионального государственного ветеринарного надзора.</w:t>
      </w:r>
    </w:p>
    <w:p>
      <w:pPr>
        <w:pStyle w:val="0"/>
        <w:spacing w:before="200" w:line-rule="auto"/>
        <w:ind w:firstLine="540"/>
        <w:jc w:val="both"/>
      </w:pPr>
      <w:r>
        <w:rPr>
          <w:sz w:val="20"/>
        </w:rPr>
        <w:t xml:space="preserve">В целях повышения качества предоставления населению области государственных и муниципальных услуг на базе МФЦ в трехлетнем периоде должна быть завершена централизация муниципальных МФЦ на областном уровне.</w:t>
      </w:r>
    </w:p>
    <w:p>
      <w:pPr>
        <w:pStyle w:val="0"/>
        <w:spacing w:before="200" w:line-rule="auto"/>
        <w:ind w:firstLine="540"/>
        <w:jc w:val="both"/>
      </w:pPr>
      <w:r>
        <w:rPr>
          <w:sz w:val="20"/>
        </w:rPr>
        <w:t xml:space="preserve">Для обеспечения безопасности населения и территорий области продолжится развитие и совершенствование системы обеспечения вызова экстренных оперативных служб по единому номеру "112".</w:t>
      </w:r>
    </w:p>
    <w:p>
      <w:pPr>
        <w:pStyle w:val="0"/>
        <w:spacing w:before="200" w:line-rule="auto"/>
        <w:ind w:firstLine="540"/>
        <w:jc w:val="both"/>
      </w:pPr>
      <w:r>
        <w:rPr>
          <w:sz w:val="20"/>
        </w:rPr>
        <w:t xml:space="preserve">В рамках реализации плана по высвобождению имущества религиозного назначения, находящегося в государственной собственности, должно быть обеспечено завершение строительства нового здания областного государственного архива.</w:t>
      </w:r>
    </w:p>
    <w:p>
      <w:pPr>
        <w:pStyle w:val="0"/>
        <w:spacing w:before="200" w:line-rule="auto"/>
        <w:ind w:firstLine="540"/>
        <w:jc w:val="both"/>
      </w:pPr>
      <w:r>
        <w:rPr>
          <w:sz w:val="20"/>
        </w:rPr>
        <w:t xml:space="preserve">Межбюджетные отношения с муниципальными образованиями области в 2021 - 2023 годах должны быть сформированы в соответствии с требованиями Бюджетного </w:t>
      </w:r>
      <w:hyperlink w:history="0" r:id="rId65" w:tooltip="&quot;Бюджетный кодекс Российской Федерации&quot; от 31.07.1998 N 145-ФЗ (ред. от 14.07.2022) ------------ Недействующая редакция {КонсультантПлюс}">
        <w:r>
          <w:rPr>
            <w:sz w:val="20"/>
            <w:color w:val="0000ff"/>
          </w:rPr>
          <w:t xml:space="preserve">кодекса</w:t>
        </w:r>
      </w:hyperlink>
      <w:r>
        <w:rPr>
          <w:sz w:val="20"/>
        </w:rPr>
        <w:t xml:space="preserve"> Российской Федерации и </w:t>
      </w:r>
      <w:hyperlink w:history="0" r:id="rId66" w:tooltip="Закон Владимирской области от 10.10.2005 N 139-ОЗ (ред. от 09.11.2021) &quot;О межбюджетных отношениях во Владимирской области&quot; (принят постановлением ЗС Владимирской области от 28.09.2005 N 652) ------------ Недействующая редакция {КонсультантПлюс}">
        <w:r>
          <w:rPr>
            <w:sz w:val="20"/>
            <w:color w:val="0000ff"/>
          </w:rPr>
          <w:t xml:space="preserve">Закона</w:t>
        </w:r>
      </w:hyperlink>
      <w:r>
        <w:rPr>
          <w:sz w:val="20"/>
        </w:rPr>
        <w:t xml:space="preserve"> области от 10 октября 2005 г. N 139-ОЗ "О межбюджетных отношениях во Владимирской области".</w:t>
      </w:r>
    </w:p>
    <w:p>
      <w:pPr>
        <w:pStyle w:val="0"/>
        <w:spacing w:before="200" w:line-rule="auto"/>
        <w:ind w:firstLine="540"/>
        <w:jc w:val="both"/>
      </w:pPr>
      <w:r>
        <w:rPr>
          <w:sz w:val="20"/>
        </w:rPr>
        <w:t xml:space="preserve">Распределение межбюджетных трансфертов муниципальным образованиям области будет осуществляться Законом об областном бюджете на очередной финансовый год и плановый период (за исключением субсидий, предоставляемых на конкурсной основе, субсидий за счет средств резервного фонда администрации области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а также иных межбюджетных трансфертов, общий объем финансирования по которым установлен законом области об областном бюджете на очередной финансовый год и плановый период и не распределен указанным законом области между муниципальными образованиями области).</w:t>
      </w:r>
    </w:p>
    <w:p>
      <w:pPr>
        <w:pStyle w:val="0"/>
        <w:spacing w:before="200" w:line-rule="auto"/>
        <w:ind w:firstLine="540"/>
        <w:jc w:val="both"/>
      </w:pPr>
      <w:r>
        <w:rPr>
          <w:sz w:val="20"/>
        </w:rPr>
        <w:t xml:space="preserve">Приоритетными задачами в сфере межбюджетных отношений являются:</w:t>
      </w:r>
    </w:p>
    <w:p>
      <w:pPr>
        <w:pStyle w:val="0"/>
        <w:spacing w:before="200" w:line-rule="auto"/>
        <w:ind w:firstLine="540"/>
        <w:jc w:val="both"/>
      </w:pPr>
      <w:r>
        <w:rPr>
          <w:sz w:val="20"/>
        </w:rPr>
        <w:t xml:space="preserve">выравнивание бюджетной обеспеченности муниципальных образований области в целях обеспечения равной доступности населения области к муниципальным услугам независимо от места проживания гражданина;</w:t>
      </w:r>
    </w:p>
    <w:p>
      <w:pPr>
        <w:pStyle w:val="0"/>
        <w:spacing w:before="200" w:line-rule="auto"/>
        <w:ind w:firstLine="540"/>
        <w:jc w:val="both"/>
      </w:pPr>
      <w:r>
        <w:rPr>
          <w:sz w:val="20"/>
        </w:rPr>
        <w:t xml:space="preserve">стимулирование органов местного самоуправления в увеличении собственной доходной базы;</w:t>
      </w:r>
    </w:p>
    <w:p>
      <w:pPr>
        <w:pStyle w:val="0"/>
        <w:spacing w:before="200" w:line-rule="auto"/>
        <w:ind w:firstLine="540"/>
        <w:jc w:val="both"/>
      </w:pPr>
      <w:r>
        <w:rPr>
          <w:sz w:val="20"/>
        </w:rPr>
        <w:t xml:space="preserve">осуществление политики замены дотаций (части дотаций) на выравнивание уровня бюджетной обеспеченности дифференцированными нормативами отчислений от налога на доходы физических лиц;</w:t>
      </w:r>
    </w:p>
    <w:p>
      <w:pPr>
        <w:pStyle w:val="0"/>
        <w:spacing w:before="200" w:line-rule="auto"/>
        <w:ind w:firstLine="540"/>
        <w:jc w:val="both"/>
      </w:pPr>
      <w:r>
        <w:rPr>
          <w:sz w:val="20"/>
        </w:rPr>
        <w:t xml:space="preserve">повышение эффективности предоставления целевых межбюджетных трансфертов;</w:t>
      </w:r>
    </w:p>
    <w:p>
      <w:pPr>
        <w:pStyle w:val="0"/>
        <w:spacing w:before="200" w:line-rule="auto"/>
        <w:ind w:firstLine="540"/>
        <w:jc w:val="both"/>
      </w:pPr>
      <w:r>
        <w:rPr>
          <w:sz w:val="20"/>
        </w:rPr>
        <w:t xml:space="preserve">реализация мер по укреплению финансовой дисциплины, соблюдению органами местного самоуправления требований бюджетного законодательства;</w:t>
      </w:r>
    </w:p>
    <w:p>
      <w:pPr>
        <w:pStyle w:val="0"/>
        <w:spacing w:before="200" w:line-rule="auto"/>
        <w:ind w:firstLine="540"/>
        <w:jc w:val="both"/>
      </w:pPr>
      <w:r>
        <w:rPr>
          <w:sz w:val="20"/>
        </w:rPr>
        <w:t xml:space="preserve">вовлечение граждан в процесс принятия решений о распределении муниципальных финансов.</w:t>
      </w:r>
    </w:p>
    <w:p>
      <w:pPr>
        <w:pStyle w:val="0"/>
        <w:spacing w:before="200" w:line-rule="auto"/>
        <w:ind w:firstLine="540"/>
        <w:jc w:val="both"/>
      </w:pPr>
      <w:r>
        <w:rPr>
          <w:sz w:val="20"/>
        </w:rPr>
        <w:t xml:space="preserve">В части выравнивания уровня бюджетной обеспеченности муниципальных образований области в целях реализации положений Бюджетного </w:t>
      </w:r>
      <w:hyperlink w:history="0" r:id="rId67" w:tooltip="&quot;Бюджетный кодекс Российской Федерации&quot; от 31.07.1998 N 145-ФЗ (ред. от 14.07.2022) ------------ Недействующая редакция {КонсультантПлюс}">
        <w:r>
          <w:rPr>
            <w:sz w:val="20"/>
            <w:color w:val="0000ff"/>
          </w:rPr>
          <w:t xml:space="preserve">кодекса</w:t>
        </w:r>
      </w:hyperlink>
      <w:r>
        <w:rPr>
          <w:sz w:val="20"/>
        </w:rPr>
        <w:t xml:space="preserve"> Российской Федерации и повышения качества муниципальных услуг, оказываемых потребителям, будет действовать формализованный порядок определения ежегодно утверждаемого законом области об областном бюджете на очередной финансовый год и плановый период критерия выравнивания бюджетной обеспеченности муниципальных районов и городских округов и финансовых возможностей поселений, исходя из необходимости достижения которых будет сформирован объем дотаций на выравнивание бюджетной обеспеченности муниципальных образований области.</w:t>
      </w:r>
    </w:p>
    <w:p>
      <w:pPr>
        <w:pStyle w:val="0"/>
        <w:spacing w:before="200" w:line-rule="auto"/>
        <w:ind w:firstLine="540"/>
        <w:jc w:val="both"/>
      </w:pPr>
      <w:r>
        <w:rPr>
          <w:sz w:val="20"/>
        </w:rPr>
        <w:t xml:space="preserve">Предполагается внедрение практики замены дотации на выравнивание бюджетной обеспеченности муниципальных районов (городских округов) полностью или частично дополнительными нормативами отчислений в бюджеты соответствующих муниципальных районов (городских округов) от налога на доходы физических лиц, подлежащего зачислению в областной бюджет. С этой целью департаментом финансов, бюджетной и налоговой политики администрации области до 15 октября текущего финансового года должен быть направлен муниципальным районам (городским округам) расчет дотаций на выравнивание бюджетной обеспеченности муниципальных районов (городских округов) на очередной финансовый год и плановый период. Принятые решения представительных органов муниципальных районов (городских округов) о согласовании замены определенного для них расчетного размера дотаций на выравнивание бюджетной обеспеченности муниципальных районов (городских округов) (части дотаций) дополнительным нормативом отчислений от налога на доходы физических лиц, подлежащего зачислению в областной бюджет, на срок не менее трех лет представляются до 25 октября текущего финансового года представительными органами муниципальных районов (городских округов) в департамент финансов, бюджетной и налоговой политики администрации области. В этом случае дотация на выравнивание бюджетной обеспеченности муниципальных районов (городских округов) (часть дотации) для таких муниципальных образований заменяется дополнительным нормативом отчислений от налога на доходы физических лиц.</w:t>
      </w:r>
    </w:p>
    <w:p>
      <w:pPr>
        <w:pStyle w:val="0"/>
        <w:spacing w:before="200" w:line-rule="auto"/>
        <w:ind w:firstLine="540"/>
        <w:jc w:val="both"/>
      </w:pPr>
      <w:r>
        <w:rPr>
          <w:sz w:val="20"/>
        </w:rPr>
        <w:t xml:space="preserve">В целях стимулирования роста доходного потенциала муниципальных образований области, повышения финансовой самостоятельности местных бюджетов с 2020 года муниципальным образованиям переданы дополнительные нормативы отчислений от налоговых и неналоговых доходов, в том числе:</w:t>
      </w:r>
    </w:p>
    <w:p>
      <w:pPr>
        <w:pStyle w:val="0"/>
        <w:spacing w:before="200" w:line-rule="auto"/>
        <w:ind w:firstLine="540"/>
        <w:jc w:val="both"/>
      </w:pPr>
      <w:r>
        <w:rPr>
          <w:sz w:val="20"/>
        </w:rPr>
        <w:t xml:space="preserve">- от налога, взимаемого по упрощенной системе налогообложения, - в бюджеты городских округов и муниципальных районов в размере 10% и 25% (дополнительно 10%) соответственно;</w:t>
      </w:r>
    </w:p>
    <w:p>
      <w:pPr>
        <w:pStyle w:val="0"/>
        <w:spacing w:before="200" w:line-rule="auto"/>
        <w:ind w:firstLine="540"/>
        <w:jc w:val="both"/>
      </w:pPr>
      <w:r>
        <w:rPr>
          <w:sz w:val="20"/>
        </w:rPr>
        <w:t xml:space="preserve">- от транспортного налога с физических лиц - в бюджеты городских округов в размере 50%, городских поселений - 50%, муниципальных районов от сельских поселений - 50%;</w:t>
      </w:r>
    </w:p>
    <w:p>
      <w:pPr>
        <w:pStyle w:val="0"/>
        <w:spacing w:before="200" w:line-rule="auto"/>
        <w:ind w:firstLine="540"/>
        <w:jc w:val="both"/>
      </w:pPr>
      <w:r>
        <w:rPr>
          <w:sz w:val="20"/>
        </w:rPr>
        <w:t xml:space="preserve">- от платы за негативное воздействие на окружающую среду - в бюджеты городских округов и муниципальных районов в размере 100% (дополнительно 45%).</w:t>
      </w:r>
    </w:p>
    <w:p>
      <w:pPr>
        <w:pStyle w:val="0"/>
        <w:spacing w:before="200" w:line-rule="auto"/>
        <w:ind w:firstLine="540"/>
        <w:jc w:val="both"/>
      </w:pPr>
      <w:r>
        <w:rPr>
          <w:sz w:val="20"/>
        </w:rPr>
        <w:t xml:space="preserve">Государственные полномочия области по расчету и предоставлению дотаций на выравнивание бюджетной обеспеченности поселений бюджетам поселений, входящих в состав муниципальных районов, будут осуществляться органами местного самоуправления муниципальных районов области в соответствии с </w:t>
      </w:r>
      <w:hyperlink w:history="0" r:id="rId68" w:tooltip="Закон Владимирской области от 10.10.2005 N 139-ОЗ (ред. от 09.11.2021) &quot;О межбюджетных отношениях во Владимирской области&quot; (принят постановлением ЗС Владимирской области от 28.09.2005 N 652) ------------ Недействующая редакция {КонсультантПлюс}">
        <w:r>
          <w:rPr>
            <w:sz w:val="20"/>
            <w:color w:val="0000ff"/>
          </w:rPr>
          <w:t xml:space="preserve">Законом</w:t>
        </w:r>
      </w:hyperlink>
      <w:r>
        <w:rPr>
          <w:sz w:val="20"/>
        </w:rPr>
        <w:t xml:space="preserve"> области от 10 октября 2005 г. N 139-ОЗ "О межбюджетных отношениях во Владимирской области" с выделением им субвенций из областного бюджета на реализацию указанных полномочий.</w:t>
      </w:r>
    </w:p>
    <w:p>
      <w:pPr>
        <w:pStyle w:val="0"/>
        <w:spacing w:before="200" w:line-rule="auto"/>
        <w:ind w:firstLine="540"/>
        <w:jc w:val="both"/>
      </w:pPr>
      <w:r>
        <w:rPr>
          <w:sz w:val="20"/>
        </w:rPr>
        <w:t xml:space="preserve">В части софинансирования расходных обязательств муниципальных образований области планируется выделение субсидий из областного бюджета, в том числе на реализацию региональных составляющих национальных проектов, в рамках государственных программ области. Софинансирование капитальных вложений в объекты муниципальной собственности будет осуществляться с учетом необходимости достижения результатов, установленных региональными проектами и областными государственными программами, при наличии проектной документации, определяющей реальную стоимость строительства объектов. </w:t>
      </w:r>
      <w:hyperlink w:history="0" w:anchor="P1401" w:tooltip="ПЕРЕЧЕНЬ">
        <w:r>
          <w:rPr>
            <w:sz w:val="20"/>
            <w:color w:val="0000ff"/>
          </w:rPr>
          <w:t xml:space="preserve">Перечень</w:t>
        </w:r>
      </w:hyperlink>
      <w:r>
        <w:rPr>
          <w:sz w:val="20"/>
        </w:rPr>
        <w:t xml:space="preserve"> приоритетных направлений софинансирования расходных обязательств муниципальных образований области утвержден приложением N 8 к настоящему распоряжению. Объем данного вида поддержки местных бюджетов зависит от возможности отраслевых бюджетов и будет реализован после исполнения расходных обязательств области, вытекающих из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федеральных законов, в полном объеме.</w:t>
      </w:r>
    </w:p>
    <w:p>
      <w:pPr>
        <w:pStyle w:val="0"/>
        <w:spacing w:before="200" w:line-rule="auto"/>
        <w:ind w:firstLine="540"/>
        <w:jc w:val="both"/>
      </w:pPr>
      <w:r>
        <w:rPr>
          <w:sz w:val="20"/>
        </w:rPr>
        <w:t xml:space="preserve">Финансовое обеспечение осуществления государственных полномочий, переданных органам местного самоуправления области, будет осуществляться за счет субвенций, выделяемых из областного бюджета. Ключевой задачей в сфере предоставления субвенций является обеспечение достаточности средств областного бюджета, направляемых на исполнение переданных полномочий. С этой целью органам исполнительной власти области необходимо в срок до 10 августа текущего года обеспечить проведение сверки исходных данных для расчета объемов субвенций с местными администрациями.</w:t>
      </w:r>
    </w:p>
    <w:p>
      <w:pPr>
        <w:pStyle w:val="0"/>
        <w:spacing w:before="200" w:line-rule="auto"/>
        <w:ind w:firstLine="540"/>
        <w:jc w:val="both"/>
      </w:pPr>
      <w:r>
        <w:rPr>
          <w:sz w:val="20"/>
        </w:rPr>
        <w:t xml:space="preserve">Формирование и исполнение местных бюджетов области следует осуществлять на основе муниципальных программ, что предполагает увязку бюджетных ассигнований и конкретных мероприятий, направленных на достижение приоритетных целей социально-экономического развития территорий. Будет оказываться необходимое методическое содействие в вопросах увеличения доли расходов, сформированных программно-целевым методом планирования, в общем объеме расходов местных бюджетов.</w:t>
      </w:r>
    </w:p>
    <w:p>
      <w:pPr>
        <w:pStyle w:val="0"/>
        <w:spacing w:before="200" w:line-rule="auto"/>
        <w:ind w:firstLine="540"/>
        <w:jc w:val="both"/>
      </w:pPr>
      <w:r>
        <w:rPr>
          <w:sz w:val="20"/>
        </w:rPr>
        <w:t xml:space="preserve">В условиях ограниченности бюджетных ресурсов и имеющихся рисков несбалансированности бюджетов межбюджетные отношения будут направлены на усиление ответственности органов местного самоуправления области за проводимую бюджетную политику в части:</w:t>
      </w:r>
    </w:p>
    <w:p>
      <w:pPr>
        <w:pStyle w:val="0"/>
        <w:spacing w:before="200" w:line-rule="auto"/>
        <w:ind w:firstLine="540"/>
        <w:jc w:val="both"/>
      </w:pPr>
      <w:r>
        <w:rPr>
          <w:sz w:val="20"/>
        </w:rPr>
        <w:t xml:space="preserve">соблюдения высокодотационными муниципальными образованиями области условий соглашений о мерах по повышению эффективности использования бюджетных средств и увеличению поступлений налоговых и неналоговых доходов в местные бюджеты области, заключенных в рамках выполнения условий предоставления межбюджетных трансфертов из областного бюджета;</w:t>
      </w:r>
    </w:p>
    <w:p>
      <w:pPr>
        <w:pStyle w:val="0"/>
        <w:spacing w:before="200" w:line-rule="auto"/>
        <w:ind w:firstLine="540"/>
        <w:jc w:val="both"/>
      </w:pPr>
      <w:r>
        <w:rPr>
          <w:sz w:val="20"/>
        </w:rPr>
        <w:t xml:space="preserve">проведения взвешенной долговой и бюджетной политики;</w:t>
      </w:r>
    </w:p>
    <w:p>
      <w:pPr>
        <w:pStyle w:val="0"/>
        <w:spacing w:before="200" w:line-rule="auto"/>
        <w:ind w:firstLine="540"/>
        <w:jc w:val="both"/>
      </w:pPr>
      <w:r>
        <w:rPr>
          <w:sz w:val="20"/>
        </w:rPr>
        <w:t xml:space="preserve">безусловного исполнения принятых расходных обязательств.</w:t>
      </w:r>
    </w:p>
    <w:p>
      <w:pPr>
        <w:pStyle w:val="0"/>
        <w:spacing w:before="200" w:line-rule="auto"/>
        <w:ind w:firstLine="540"/>
        <w:jc w:val="both"/>
      </w:pPr>
      <w:r>
        <w:rPr>
          <w:sz w:val="20"/>
        </w:rPr>
        <w:t xml:space="preserve">Для анализа результатов проводимой работы необходимо осуществлять ежемесячный мониторинг исполнения бюджетов муниципальных образований области, обеспечения их сбалансированности, а также ежегодную оценку качества управления муниципальными финансами.</w:t>
      </w:r>
    </w:p>
    <w:p>
      <w:pPr>
        <w:pStyle w:val="0"/>
        <w:jc w:val="both"/>
      </w:pPr>
      <w:r>
        <w:rPr>
          <w:sz w:val="20"/>
        </w:rPr>
      </w:r>
    </w:p>
    <w:p>
      <w:pPr>
        <w:pStyle w:val="2"/>
        <w:outlineLvl w:val="1"/>
        <w:jc w:val="center"/>
      </w:pPr>
      <w:r>
        <w:rPr>
          <w:sz w:val="20"/>
        </w:rPr>
        <w:t xml:space="preserve">3. Основные подходы к формированию бюджетных расходов</w:t>
      </w:r>
    </w:p>
    <w:p>
      <w:pPr>
        <w:pStyle w:val="2"/>
        <w:jc w:val="center"/>
      </w:pPr>
      <w:r>
        <w:rPr>
          <w:sz w:val="20"/>
        </w:rPr>
        <w:t xml:space="preserve">на 2021 - 2023 годы</w:t>
      </w:r>
    </w:p>
    <w:p>
      <w:pPr>
        <w:pStyle w:val="0"/>
        <w:jc w:val="both"/>
      </w:pPr>
      <w:r>
        <w:rPr>
          <w:sz w:val="20"/>
        </w:rPr>
      </w:r>
    </w:p>
    <w:p>
      <w:pPr>
        <w:pStyle w:val="0"/>
        <w:ind w:firstLine="540"/>
        <w:jc w:val="both"/>
      </w:pPr>
      <w:r>
        <w:rPr>
          <w:sz w:val="20"/>
        </w:rPr>
        <w:t xml:space="preserve">Основой для формирования расходов областного бюджета является реестр действующих расходных обязательств Владимирской области на 2021 - 2023 годы.</w:t>
      </w:r>
    </w:p>
    <w:p>
      <w:pPr>
        <w:pStyle w:val="0"/>
        <w:spacing w:before="200" w:line-rule="auto"/>
        <w:ind w:firstLine="540"/>
        <w:jc w:val="both"/>
      </w:pPr>
      <w:r>
        <w:rPr>
          <w:sz w:val="20"/>
        </w:rPr>
        <w:t xml:space="preserve">Безвозмездные поступления в областной бюджет на 2021 - 2022 годы планируется включать в доходы и расходы областного бюджета в соответствии с показателями федерального бюджета на 2020 - 2022 годы, на 2023 год - по предложениям главных администраторов доходов областного бюджета.</w:t>
      </w:r>
    </w:p>
    <w:p>
      <w:pPr>
        <w:pStyle w:val="0"/>
        <w:spacing w:before="200" w:line-rule="auto"/>
        <w:ind w:firstLine="540"/>
        <w:jc w:val="both"/>
      </w:pPr>
      <w:r>
        <w:rPr>
          <w:sz w:val="20"/>
        </w:rPr>
        <w:t xml:space="preserve">Предельные объемы бюджетных ассигнований областного бюджета на 2021 - 2023 годы сформированы на основе следующих основных подходов:</w:t>
      </w:r>
    </w:p>
    <w:p>
      <w:pPr>
        <w:pStyle w:val="0"/>
        <w:spacing w:before="200" w:line-rule="auto"/>
        <w:ind w:firstLine="540"/>
        <w:jc w:val="both"/>
      </w:pPr>
      <w:r>
        <w:rPr>
          <w:sz w:val="20"/>
        </w:rPr>
        <w:t xml:space="preserve">1) объемы бюджетных ассигнований на исполнение действующих расходных обязательств на 2021 - 2022 годы определены в соответствии с данными реестра расходных обязательств, составленного главными распорядителями средств областного бюджета (далее - главные распорядители) и соответствующего объемам, утвержденным </w:t>
      </w:r>
      <w:hyperlink w:history="0" r:id="rId70" w:tooltip="Закон Владимирской области от 25.12.2019 N 136-ОЗ (ред. от 30.03.2020) &quot;Об областном бюджете на 2020 год и на плановый период 2021 и 2022 годов&quot; (принят постановлением ЗС Владимирской области от 18.12.2019 N 401) {КонсультантПлюс}">
        <w:r>
          <w:rPr>
            <w:sz w:val="20"/>
            <w:color w:val="0000ff"/>
          </w:rPr>
          <w:t xml:space="preserve">Законом</w:t>
        </w:r>
      </w:hyperlink>
      <w:r>
        <w:rPr>
          <w:sz w:val="20"/>
        </w:rPr>
        <w:t xml:space="preserve"> области от 25 декабря 2019 г. N 136-ОЗ "Об областном бюджете на 2020 год и на плановый период 2021 и 2022 годов";</w:t>
      </w:r>
    </w:p>
    <w:p>
      <w:pPr>
        <w:pStyle w:val="0"/>
        <w:spacing w:before="200" w:line-rule="auto"/>
        <w:ind w:firstLine="540"/>
        <w:jc w:val="both"/>
      </w:pPr>
      <w:r>
        <w:rPr>
          <w:sz w:val="20"/>
        </w:rPr>
        <w:t xml:space="preserve">объемы расходов на 2023 год приняты с учетом:</w:t>
      </w:r>
    </w:p>
    <w:p>
      <w:pPr>
        <w:pStyle w:val="0"/>
        <w:spacing w:before="200" w:line-rule="auto"/>
        <w:ind w:firstLine="540"/>
        <w:jc w:val="both"/>
      </w:pPr>
      <w:r>
        <w:rPr>
          <w:sz w:val="20"/>
        </w:rPr>
        <w:t xml:space="preserve">сохранения длящихся расходных обязательств области на уровне объемов бюджетных ассигнований 2022 года;</w:t>
      </w:r>
    </w:p>
    <w:p>
      <w:pPr>
        <w:pStyle w:val="0"/>
        <w:spacing w:before="200" w:line-rule="auto"/>
        <w:ind w:firstLine="540"/>
        <w:jc w:val="both"/>
      </w:pPr>
      <w:r>
        <w:rPr>
          <w:sz w:val="20"/>
        </w:rPr>
        <w:t xml:space="preserve">исключения прекращающихся расходных обязательств области ограниченного срока действия;</w:t>
      </w:r>
    </w:p>
    <w:p>
      <w:pPr>
        <w:pStyle w:val="0"/>
        <w:spacing w:before="200" w:line-rule="auto"/>
        <w:ind w:firstLine="540"/>
        <w:jc w:val="both"/>
      </w:pPr>
      <w:r>
        <w:rPr>
          <w:sz w:val="20"/>
        </w:rPr>
        <w:t xml:space="preserve">2) объемы бюджетных ассигнований на исполнение изменения действующих расходных обязательств определены в соответствии нормативными правовыми актами области, принятыми и действующими в 2020 году.</w:t>
      </w:r>
    </w:p>
    <w:p>
      <w:pPr>
        <w:pStyle w:val="0"/>
        <w:spacing w:before="200" w:line-rule="auto"/>
        <w:ind w:firstLine="540"/>
        <w:jc w:val="both"/>
      </w:pPr>
      <w:r>
        <w:rPr>
          <w:sz w:val="20"/>
        </w:rPr>
        <w:t xml:space="preserve">Особенностью планирования бюджетных ассигнований на 2021 - 2023 годы по оплате труда отдельных категорий работников учреждений в сфере здравоохранения, социального обеспечения населения, образования и культуры является обеспечение сохранения целевых показателей указов Президента Российской Федерации (2012 года);</w:t>
      </w:r>
    </w:p>
    <w:p>
      <w:pPr>
        <w:pStyle w:val="0"/>
        <w:spacing w:before="200" w:line-rule="auto"/>
        <w:ind w:firstLine="540"/>
        <w:jc w:val="both"/>
      </w:pPr>
      <w:r>
        <w:rPr>
          <w:sz w:val="20"/>
        </w:rPr>
        <w:t xml:space="preserve">3) в составе принимаемых обязательств предусмотрены бюджетные ассигнования:</w:t>
      </w:r>
    </w:p>
    <w:p>
      <w:pPr>
        <w:pStyle w:val="0"/>
        <w:spacing w:before="200" w:line-rule="auto"/>
        <w:ind w:firstLine="540"/>
        <w:jc w:val="both"/>
      </w:pPr>
      <w:r>
        <w:rPr>
          <w:sz w:val="20"/>
        </w:rPr>
        <w:t xml:space="preserve">- на индексацию на уровень не ниже инфляции:</w:t>
      </w:r>
    </w:p>
    <w:p>
      <w:pPr>
        <w:pStyle w:val="0"/>
        <w:spacing w:before="200" w:line-rule="auto"/>
        <w:ind w:firstLine="540"/>
        <w:jc w:val="both"/>
      </w:pPr>
      <w:r>
        <w:rPr>
          <w:sz w:val="20"/>
        </w:rPr>
        <w:t xml:space="preserve">с 1 января 2021 года - социальных выплат населению;</w:t>
      </w:r>
    </w:p>
    <w:p>
      <w:pPr>
        <w:pStyle w:val="0"/>
        <w:spacing w:before="200" w:line-rule="auto"/>
        <w:ind w:firstLine="540"/>
        <w:jc w:val="both"/>
      </w:pPr>
      <w:r>
        <w:rPr>
          <w:sz w:val="20"/>
        </w:rPr>
        <w:t xml:space="preserve">с 1 сентября 2021 года - стипендий студентам областных государственных учреждений среднего профессионального образования;</w:t>
      </w:r>
    </w:p>
    <w:p>
      <w:pPr>
        <w:pStyle w:val="0"/>
        <w:spacing w:before="200" w:line-rule="auto"/>
        <w:ind w:firstLine="540"/>
        <w:jc w:val="both"/>
      </w:pPr>
      <w:r>
        <w:rPr>
          <w:sz w:val="20"/>
        </w:rPr>
        <w:t xml:space="preserve">- на укрепление материально-технической базы областных учреждений здравоохранения;</w:t>
      </w:r>
    </w:p>
    <w:p>
      <w:pPr>
        <w:pStyle w:val="0"/>
        <w:spacing w:before="200" w:line-rule="auto"/>
        <w:ind w:firstLine="540"/>
        <w:jc w:val="both"/>
      </w:pPr>
      <w:r>
        <w:rPr>
          <w:sz w:val="20"/>
        </w:rPr>
        <w:t xml:space="preserve">- на участие области в федеральных и национальных проектах, государственных программах Российской Федерации в сумме 100 млн. рублей, что позволит привлечь дополнительно не менее 2 млрд. рублей из федерального бюджета;</w:t>
      </w:r>
    </w:p>
    <w:p>
      <w:pPr>
        <w:pStyle w:val="0"/>
        <w:spacing w:before="200" w:line-rule="auto"/>
        <w:ind w:firstLine="540"/>
        <w:jc w:val="both"/>
      </w:pPr>
      <w:r>
        <w:rPr>
          <w:sz w:val="20"/>
        </w:rPr>
        <w:t xml:space="preserve">- на обслуживание государственного долга области;</w:t>
      </w:r>
    </w:p>
    <w:p>
      <w:pPr>
        <w:pStyle w:val="0"/>
        <w:spacing w:before="200" w:line-rule="auto"/>
        <w:ind w:firstLine="540"/>
        <w:jc w:val="both"/>
      </w:pPr>
      <w:r>
        <w:rPr>
          <w:sz w:val="20"/>
        </w:rPr>
        <w:t xml:space="preserve">- на поддержку мер по обеспечению сбалансированности местных бюджетов;</w:t>
      </w:r>
    </w:p>
    <w:p>
      <w:pPr>
        <w:pStyle w:val="0"/>
        <w:spacing w:before="200" w:line-rule="auto"/>
        <w:ind w:firstLine="540"/>
        <w:jc w:val="both"/>
      </w:pPr>
      <w:r>
        <w:rPr>
          <w:sz w:val="20"/>
        </w:rPr>
        <w:t xml:space="preserve">4) в соответствии со </w:t>
      </w:r>
      <w:hyperlink w:history="0" r:id="rId71" w:tooltip="&quot;Бюджетный кодекс Российской Федерации&quot; от 31.07.1998 N 145-ФЗ (ред. от 14.07.2022) ------------ Недействующая редакция {КонсультантПлюс}">
        <w:r>
          <w:rPr>
            <w:sz w:val="20"/>
            <w:color w:val="0000ff"/>
          </w:rPr>
          <w:t xml:space="preserve">статьей 184.1</w:t>
        </w:r>
      </w:hyperlink>
      <w:r>
        <w:rPr>
          <w:sz w:val="20"/>
        </w:rPr>
        <w:t xml:space="preserve"> Бюджетного кодекса Российской Федерации в составе расходов областного бюджета предусмотрены условно утверждаемые расходы, которые составят в 2022 году не менее 2,5% от общего объема расходов 2022 года (без учета расходов, предусмотренных за счет целевых межбюджетных трансфертов из других бюджетов), и в 2023 году - не менее 5% от общего объема расходов 2023 года (без учета расходов, предусмотренных за счет целевых межбюджетных трансфертов из других бюджетов);</w:t>
      </w:r>
    </w:p>
    <w:p>
      <w:pPr>
        <w:pStyle w:val="0"/>
        <w:spacing w:before="200" w:line-rule="auto"/>
        <w:ind w:firstLine="540"/>
        <w:jc w:val="both"/>
      </w:pPr>
      <w:r>
        <w:rPr>
          <w:sz w:val="20"/>
        </w:rPr>
        <w:t xml:space="preserve">5) объем бюджетных ассигнований по отношению к объему, утвержденному настоящим распоряжением, может быть изменен на суммы безвозмездных поступлений из федерального бюджета и перераспределен между главными распорядителями средств областного бюджета в случае изменения их функций и полномочий.</w:t>
      </w:r>
    </w:p>
    <w:p>
      <w:pPr>
        <w:pStyle w:val="0"/>
        <w:spacing w:before="200" w:line-rule="auto"/>
        <w:ind w:firstLine="540"/>
        <w:jc w:val="both"/>
      </w:pPr>
      <w:r>
        <w:rPr>
          <w:sz w:val="20"/>
        </w:rPr>
        <w:t xml:space="preserve">На данном этапе составления бюджетных проектировок на 2021 - 2023 годы сформирован предельно допустимый в соответствии с Бюджетным </w:t>
      </w:r>
      <w:hyperlink w:history="0" r:id="rId72" w:tooltip="&quot;Бюджетный кодекс Российской Федерации&quot; от 31.07.1998 N 145-ФЗ (ред. от 14.07.2022) ------------ Недействующая редакция {КонсультантПлюс}">
        <w:r>
          <w:rPr>
            <w:sz w:val="20"/>
            <w:color w:val="0000ff"/>
          </w:rPr>
          <w:t xml:space="preserve">кодексом</w:t>
        </w:r>
      </w:hyperlink>
      <w:r>
        <w:rPr>
          <w:sz w:val="20"/>
        </w:rPr>
        <w:t xml:space="preserve"> Российской Федерации дефицит областного бюджета. Окончательное решение по размеру дефицита должно быть принято в законе области об областном бюджете на 2021 - 2023 годы, после уточнения объемов налоговых и неналоговых доходов областного бюджета и безвозмездных поступлений из федерального бюджета.</w:t>
      </w:r>
    </w:p>
    <w:p>
      <w:pPr>
        <w:pStyle w:val="0"/>
        <w:spacing w:before="200" w:line-rule="auto"/>
        <w:ind w:firstLine="540"/>
        <w:jc w:val="both"/>
      </w:pPr>
      <w:r>
        <w:rPr>
          <w:sz w:val="20"/>
        </w:rPr>
        <w:t xml:space="preserve">В ходе формирования проекта областного бюджета на 2021 - 2023 годы, в целях выполнения условий реструктуризации обязательств по бюджетным кредитам, полученным из федерального бюджета, утвержденных </w:t>
      </w:r>
      <w:hyperlink w:history="0" r:id="rId73" w:tooltip="Закон Владимирской области от 13.03.2019 N 15-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8.02.2019 N 46) {КонсультантПлюс}">
        <w:r>
          <w:rPr>
            <w:sz w:val="20"/>
            <w:color w:val="0000ff"/>
          </w:rPr>
          <w:t xml:space="preserve">Законом</w:t>
        </w:r>
      </w:hyperlink>
      <w:r>
        <w:rPr>
          <w:sz w:val="20"/>
        </w:rPr>
        <w:t xml:space="preserve"> области от 13 марта 2019 г. N 15-ОЗ "Об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 главным администраторам доходов областного бюджета необходимо продолжить работу по уточнению прогноза налоговых и неналоговых доходов и по привлечению дополнительных средств из федерального бюджета.</w:t>
      </w:r>
    </w:p>
    <w:p>
      <w:pPr>
        <w:pStyle w:val="0"/>
        <w:spacing w:before="200" w:line-rule="auto"/>
        <w:ind w:firstLine="540"/>
        <w:jc w:val="both"/>
      </w:pPr>
      <w:r>
        <w:rPr>
          <w:sz w:val="20"/>
        </w:rPr>
        <w:t xml:space="preserve">Главным распорядителям средств областного бюджета при подготовке проектировок областного бюджета на 2021 год и на плановый период 2022 и 2023 годов:</w:t>
      </w:r>
    </w:p>
    <w:p>
      <w:pPr>
        <w:pStyle w:val="0"/>
        <w:spacing w:before="200" w:line-rule="auto"/>
        <w:ind w:firstLine="540"/>
        <w:jc w:val="both"/>
      </w:pPr>
      <w:r>
        <w:rPr>
          <w:sz w:val="20"/>
        </w:rPr>
        <w:t xml:space="preserve">1) в пределах доведенных бюджетных ассигнований - самостоятельно определить приоритеты бюджетных расходов для финансового обеспечения полномочий субъекта Российской Федерации и совместных полномочий Российской Федерации и субъектов Российской Федерации и возможности оказания финансовой помощи муниципальным образованиям исходя из необходимости достижения контрольных точек по реализации </w:t>
      </w:r>
      <w:hyperlink w:history="0" r:id="rId74"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w:t>
      </w:r>
    </w:p>
    <w:p>
      <w:pPr>
        <w:pStyle w:val="0"/>
        <w:spacing w:before="200" w:line-rule="auto"/>
        <w:ind w:firstLine="540"/>
        <w:jc w:val="both"/>
      </w:pPr>
      <w:r>
        <w:rPr>
          <w:sz w:val="20"/>
        </w:rPr>
        <w:t xml:space="preserve">2) распределить все межбюджетные трансферты между муниципальными образованиями на очередной финансовый год и на плановый период законом области об областном бюджете на очередной финансовый год и плановый период;</w:t>
      </w:r>
    </w:p>
    <w:p>
      <w:pPr>
        <w:pStyle w:val="0"/>
        <w:spacing w:before="200" w:line-rule="auto"/>
        <w:ind w:firstLine="540"/>
        <w:jc w:val="both"/>
      </w:pPr>
      <w:r>
        <w:rPr>
          <w:sz w:val="20"/>
        </w:rPr>
        <w:t xml:space="preserve">3) принять решения об изменении ранее утвержденных государственных программ, в том числе об изменении объема бюджетных ассигнований на финансовое обеспечение реализации программ в связи с не исполнением целевых показателей основных мероприятий программ;</w:t>
      </w:r>
    </w:p>
    <w:p>
      <w:pPr>
        <w:pStyle w:val="0"/>
        <w:spacing w:before="200" w:line-rule="auto"/>
        <w:ind w:firstLine="540"/>
        <w:jc w:val="both"/>
      </w:pPr>
      <w:r>
        <w:rPr>
          <w:sz w:val="20"/>
        </w:rPr>
        <w:t xml:space="preserve">4) распределить бюджетные ассигнования по бюджетным и автономным учреждениям с учетом прогнозируемых неиспользованных остатков средств на счетах подведомственных учреждений по состоянию на 1 января 2021 года;</w:t>
      </w:r>
    </w:p>
    <w:p>
      <w:pPr>
        <w:pStyle w:val="0"/>
        <w:spacing w:before="200" w:line-rule="auto"/>
        <w:ind w:firstLine="540"/>
        <w:jc w:val="both"/>
      </w:pPr>
      <w:r>
        <w:rPr>
          <w:sz w:val="20"/>
        </w:rPr>
        <w:t xml:space="preserve">5) включить в проект областного бюджета на 2021 - 2023 годы расходы по строительству (реконструкции) объектов, имеющих по состоянию на 1 августа текущего года документы по отводу земельного участка под строительство, проектно-сметную документацию, прошедшую государственную экспертизу, и информацию департамента архитектуры и строительства области о полноте и актуальности проектно-сметной документации;</w:t>
      </w:r>
    </w:p>
    <w:p>
      <w:pPr>
        <w:pStyle w:val="0"/>
        <w:spacing w:before="200" w:line-rule="auto"/>
        <w:ind w:firstLine="540"/>
        <w:jc w:val="both"/>
      </w:pPr>
      <w:r>
        <w:rPr>
          <w:sz w:val="20"/>
        </w:rPr>
        <w:t xml:space="preserve">6) включить в проект областного бюджета на 2021 - 2023 годы расходы на капитальный ремонт объектов областной собственности при наличии утвержденной проектной документации с положительным заключением государственной экспертизы по состоянию на 1 августа текущего года;</w:t>
      </w:r>
    </w:p>
    <w:p>
      <w:pPr>
        <w:pStyle w:val="0"/>
        <w:spacing w:before="200" w:line-rule="auto"/>
        <w:ind w:firstLine="540"/>
        <w:jc w:val="both"/>
      </w:pPr>
      <w:r>
        <w:rPr>
          <w:sz w:val="20"/>
        </w:rPr>
        <w:t xml:space="preserve">7) подготовить в 2020 году необходимую конкурсную документацию по расходам инвестиционного характера, в том числе осуществляемым в рамках национальных проектов, для проведения контрактации расходов до 1 марта 2021 года;</w:t>
      </w:r>
    </w:p>
    <w:p>
      <w:pPr>
        <w:pStyle w:val="0"/>
        <w:spacing w:before="200" w:line-rule="auto"/>
        <w:ind w:firstLine="540"/>
        <w:jc w:val="both"/>
      </w:pPr>
      <w:r>
        <w:rPr>
          <w:sz w:val="20"/>
        </w:rPr>
        <w:t xml:space="preserve">8) учесть заключения Счетной палаты области по итогам контрольных и экспертно-аналитических мероприятий, а также заключение по отчету об исполнении областного бюджета за 2019 год;</w:t>
      </w:r>
    </w:p>
    <w:p>
      <w:pPr>
        <w:pStyle w:val="0"/>
        <w:spacing w:before="200" w:line-rule="auto"/>
        <w:ind w:firstLine="540"/>
        <w:jc w:val="both"/>
      </w:pPr>
      <w:r>
        <w:rPr>
          <w:sz w:val="20"/>
        </w:rPr>
        <w:t xml:space="preserve">9) при определении объема расходов на 2021 - 2023 годы по межбюджетным трансфертам муниципальным образованиям на повышение оплаты труда педагогических работников образовательных учреждений общего образования, дошкольных образовательных учреждений, учреждений дополнительного образования детей и работников учреждений культуры в соответствии с Указами Президента Российской Федерации от 7 мая 2012 года </w:t>
      </w:r>
      <w:hyperlink w:history="0" r:id="rId75"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и от 1 июня 2012 года </w:t>
      </w:r>
      <w:hyperlink w:history="0" r:id="rId76"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учитывать оптимизацию расходов на содержание административно-управленческого и вспомогательного персонала с учетом предельной доли расходов на оплату их труда в фонде оплаты труда учреждения - не более 40 процентов.</w:t>
      </w:r>
    </w:p>
    <w:p>
      <w:pPr>
        <w:pStyle w:val="0"/>
        <w:jc w:val="both"/>
      </w:pPr>
      <w:r>
        <w:rPr>
          <w:sz w:val="20"/>
        </w:rPr>
        <w:t xml:space="preserve">(п. 9 введен </w:t>
      </w:r>
      <w:hyperlink w:history="0" r:id="rId77" w:tooltip="Распоряжение администрации Владимирской обл. от 17.08.2020 N 664-р &quot;О внесении изменения в распоряжение администрации области от 07.07.2020 N 523-р&quot; {КонсультантПлюс}">
        <w:r>
          <w:rPr>
            <w:sz w:val="20"/>
            <w:color w:val="0000ff"/>
          </w:rPr>
          <w:t xml:space="preserve">распоряжением</w:t>
        </w:r>
      </w:hyperlink>
      <w:r>
        <w:rPr>
          <w:sz w:val="20"/>
        </w:rPr>
        <w:t xml:space="preserve"> администрации Владимирской области от 17.08.2020 N 664-р)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3</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07.07.2020 N 523-р</w:t>
      </w:r>
    </w:p>
    <w:p>
      <w:pPr>
        <w:pStyle w:val="0"/>
        <w:jc w:val="both"/>
      </w:pPr>
      <w:r>
        <w:rPr>
          <w:sz w:val="20"/>
        </w:rPr>
      </w:r>
    </w:p>
    <w:bookmarkStart w:id="713" w:name="P713"/>
    <w:bookmarkEnd w:id="713"/>
    <w:p>
      <w:pPr>
        <w:pStyle w:val="2"/>
        <w:jc w:val="center"/>
      </w:pPr>
      <w:r>
        <w:rPr>
          <w:sz w:val="20"/>
        </w:rPr>
        <w:t xml:space="preserve">ОСНОВНЫЕ ПОКАЗАТЕЛИ</w:t>
      </w:r>
    </w:p>
    <w:p>
      <w:pPr>
        <w:pStyle w:val="2"/>
        <w:jc w:val="center"/>
      </w:pPr>
      <w:r>
        <w:rPr>
          <w:sz w:val="20"/>
        </w:rPr>
        <w:t xml:space="preserve">КОНСОЛИДИРОВАННОГО БЮДЖЕТА ВЛАДИМИРСКОЙ ОБЛАСТИ НА 2021 ГОД</w:t>
      </w:r>
    </w:p>
    <w:p>
      <w:pPr>
        <w:pStyle w:val="2"/>
        <w:jc w:val="center"/>
      </w:pPr>
      <w:r>
        <w:rPr>
          <w:sz w:val="20"/>
        </w:rPr>
        <w:t xml:space="preserve">И НА ПЛАНОВЫЙ ПЕРИОД 2022 И 2023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98"/>
        <w:gridCol w:w="1757"/>
        <w:gridCol w:w="1757"/>
        <w:gridCol w:w="1757"/>
      </w:tblGrid>
      <w:tr>
        <w:tc>
          <w:tcPr>
            <w:tcW w:w="3798" w:type="dxa"/>
            <w:vMerge w:val="restart"/>
          </w:tcPr>
          <w:p>
            <w:pPr>
              <w:pStyle w:val="0"/>
              <w:jc w:val="center"/>
            </w:pPr>
            <w:r>
              <w:rPr>
                <w:sz w:val="20"/>
              </w:rPr>
              <w:t xml:space="preserve">Показатели</w:t>
            </w:r>
          </w:p>
        </w:tc>
        <w:tc>
          <w:tcPr>
            <w:gridSpan w:val="3"/>
            <w:tcW w:w="5271" w:type="dxa"/>
          </w:tcPr>
          <w:p>
            <w:pPr>
              <w:pStyle w:val="0"/>
              <w:jc w:val="center"/>
            </w:pPr>
            <w:r>
              <w:rPr>
                <w:sz w:val="20"/>
              </w:rPr>
              <w:t xml:space="preserve">Объем в тыс. рублей</w:t>
            </w:r>
          </w:p>
        </w:tc>
      </w:tr>
      <w:tr>
        <w:tc>
          <w:tcPr>
            <w:vMerge w:val="continue"/>
          </w:tcPr>
          <w:p/>
        </w:tc>
        <w:tc>
          <w:tcPr>
            <w:tcW w:w="1757" w:type="dxa"/>
          </w:tcPr>
          <w:p>
            <w:pPr>
              <w:pStyle w:val="0"/>
              <w:jc w:val="center"/>
            </w:pPr>
            <w:r>
              <w:rPr>
                <w:sz w:val="20"/>
              </w:rPr>
              <w:t xml:space="preserve">2021 год</w:t>
            </w:r>
          </w:p>
        </w:tc>
        <w:tc>
          <w:tcPr>
            <w:tcW w:w="1757" w:type="dxa"/>
          </w:tcPr>
          <w:p>
            <w:pPr>
              <w:pStyle w:val="0"/>
              <w:jc w:val="center"/>
            </w:pPr>
            <w:r>
              <w:rPr>
                <w:sz w:val="20"/>
              </w:rPr>
              <w:t xml:space="preserve">2022 год</w:t>
            </w:r>
          </w:p>
        </w:tc>
        <w:tc>
          <w:tcPr>
            <w:tcW w:w="1757" w:type="dxa"/>
          </w:tcPr>
          <w:p>
            <w:pPr>
              <w:pStyle w:val="0"/>
              <w:jc w:val="center"/>
            </w:pPr>
            <w:r>
              <w:rPr>
                <w:sz w:val="20"/>
              </w:rPr>
              <w:t xml:space="preserve">2023 год</w:t>
            </w:r>
          </w:p>
        </w:tc>
      </w:tr>
      <w:tr>
        <w:tc>
          <w:tcPr>
            <w:gridSpan w:val="4"/>
            <w:tcW w:w="9069" w:type="dxa"/>
          </w:tcPr>
          <w:p>
            <w:pPr>
              <w:pStyle w:val="0"/>
              <w:jc w:val="center"/>
            </w:pPr>
            <w:r>
              <w:rPr>
                <w:sz w:val="20"/>
              </w:rPr>
              <w:t xml:space="preserve">Консолидированный бюджет Владимирской области</w:t>
            </w:r>
          </w:p>
        </w:tc>
      </w:tr>
      <w:tr>
        <w:tc>
          <w:tcPr>
            <w:tcW w:w="3798" w:type="dxa"/>
          </w:tcPr>
          <w:p>
            <w:pPr>
              <w:pStyle w:val="0"/>
            </w:pPr>
            <w:r>
              <w:rPr>
                <w:sz w:val="20"/>
              </w:rPr>
              <w:t xml:space="preserve">Доходы - всего</w:t>
            </w:r>
          </w:p>
        </w:tc>
        <w:tc>
          <w:tcPr>
            <w:tcW w:w="1757" w:type="dxa"/>
          </w:tcPr>
          <w:p>
            <w:pPr>
              <w:pStyle w:val="0"/>
              <w:jc w:val="center"/>
            </w:pPr>
            <w:r>
              <w:rPr>
                <w:sz w:val="20"/>
              </w:rPr>
              <w:t xml:space="preserve">75613597,4</w:t>
            </w:r>
          </w:p>
        </w:tc>
        <w:tc>
          <w:tcPr>
            <w:tcW w:w="1757" w:type="dxa"/>
          </w:tcPr>
          <w:p>
            <w:pPr>
              <w:pStyle w:val="0"/>
              <w:jc w:val="center"/>
            </w:pPr>
            <w:r>
              <w:rPr>
                <w:sz w:val="20"/>
              </w:rPr>
              <w:t xml:space="preserve">75636583,3</w:t>
            </w:r>
          </w:p>
        </w:tc>
        <w:tc>
          <w:tcPr>
            <w:tcW w:w="1757" w:type="dxa"/>
          </w:tcPr>
          <w:p>
            <w:pPr>
              <w:pStyle w:val="0"/>
              <w:jc w:val="center"/>
            </w:pPr>
            <w:r>
              <w:rPr>
                <w:sz w:val="20"/>
              </w:rPr>
              <w:t xml:space="preserve">77485657,4</w:t>
            </w:r>
          </w:p>
        </w:tc>
      </w:tr>
      <w:tr>
        <w:tc>
          <w:tcPr>
            <w:tcW w:w="3798" w:type="dxa"/>
          </w:tcPr>
          <w:p>
            <w:pPr>
              <w:pStyle w:val="0"/>
            </w:pPr>
            <w:r>
              <w:rPr>
                <w:sz w:val="20"/>
              </w:rPr>
              <w:t xml:space="preserve">в том числе:</w:t>
            </w:r>
          </w:p>
        </w:tc>
        <w:tc>
          <w:tcPr>
            <w:tcW w:w="1757" w:type="dxa"/>
          </w:tcPr>
          <w:p>
            <w:pPr>
              <w:pStyle w:val="0"/>
            </w:pPr>
            <w:r>
              <w:rPr>
                <w:sz w:val="20"/>
              </w:rPr>
            </w:r>
          </w:p>
        </w:tc>
        <w:tc>
          <w:tcPr>
            <w:tcW w:w="1757" w:type="dxa"/>
          </w:tcPr>
          <w:p>
            <w:pPr>
              <w:pStyle w:val="0"/>
            </w:pPr>
            <w:r>
              <w:rPr>
                <w:sz w:val="20"/>
              </w:rPr>
            </w:r>
          </w:p>
        </w:tc>
        <w:tc>
          <w:tcPr>
            <w:tcW w:w="1757" w:type="dxa"/>
          </w:tcPr>
          <w:p>
            <w:pPr>
              <w:pStyle w:val="0"/>
            </w:pPr>
            <w:r>
              <w:rPr>
                <w:sz w:val="20"/>
              </w:rPr>
            </w:r>
          </w:p>
        </w:tc>
      </w:tr>
      <w:tr>
        <w:tc>
          <w:tcPr>
            <w:tcW w:w="3798" w:type="dxa"/>
          </w:tcPr>
          <w:p>
            <w:pPr>
              <w:pStyle w:val="0"/>
            </w:pPr>
            <w:r>
              <w:rPr>
                <w:sz w:val="20"/>
              </w:rPr>
              <w:t xml:space="preserve">налоговые и неналоговые доходы</w:t>
            </w:r>
          </w:p>
        </w:tc>
        <w:tc>
          <w:tcPr>
            <w:tcW w:w="1757" w:type="dxa"/>
          </w:tcPr>
          <w:p>
            <w:pPr>
              <w:pStyle w:val="0"/>
              <w:jc w:val="center"/>
            </w:pPr>
            <w:r>
              <w:rPr>
                <w:sz w:val="20"/>
              </w:rPr>
              <w:t xml:space="preserve">56626505,0</w:t>
            </w:r>
          </w:p>
        </w:tc>
        <w:tc>
          <w:tcPr>
            <w:tcW w:w="1757" w:type="dxa"/>
          </w:tcPr>
          <w:p>
            <w:pPr>
              <w:pStyle w:val="0"/>
              <w:jc w:val="center"/>
            </w:pPr>
            <w:r>
              <w:rPr>
                <w:sz w:val="20"/>
              </w:rPr>
              <w:t xml:space="preserve">60492307,1</w:t>
            </w:r>
          </w:p>
        </w:tc>
        <w:tc>
          <w:tcPr>
            <w:tcW w:w="1757" w:type="dxa"/>
          </w:tcPr>
          <w:p>
            <w:pPr>
              <w:pStyle w:val="0"/>
              <w:jc w:val="center"/>
            </w:pPr>
            <w:r>
              <w:rPr>
                <w:sz w:val="20"/>
              </w:rPr>
              <w:t xml:space="preserve">63267338,4</w:t>
            </w:r>
          </w:p>
        </w:tc>
      </w:tr>
      <w:tr>
        <w:tc>
          <w:tcPr>
            <w:tcW w:w="3798" w:type="dxa"/>
          </w:tcPr>
          <w:p>
            <w:pPr>
              <w:pStyle w:val="0"/>
            </w:pPr>
            <w:r>
              <w:rPr>
                <w:sz w:val="20"/>
              </w:rPr>
              <w:t xml:space="preserve">безвозмездные поступления</w:t>
            </w:r>
          </w:p>
        </w:tc>
        <w:tc>
          <w:tcPr>
            <w:tcW w:w="1757" w:type="dxa"/>
          </w:tcPr>
          <w:p>
            <w:pPr>
              <w:pStyle w:val="0"/>
              <w:jc w:val="center"/>
            </w:pPr>
            <w:r>
              <w:rPr>
                <w:sz w:val="20"/>
              </w:rPr>
              <w:t xml:space="preserve">18987092,4</w:t>
            </w:r>
          </w:p>
        </w:tc>
        <w:tc>
          <w:tcPr>
            <w:tcW w:w="1757" w:type="dxa"/>
          </w:tcPr>
          <w:p>
            <w:pPr>
              <w:pStyle w:val="0"/>
              <w:jc w:val="center"/>
            </w:pPr>
            <w:r>
              <w:rPr>
                <w:sz w:val="20"/>
              </w:rPr>
              <w:t xml:space="preserve">15144276,2</w:t>
            </w:r>
          </w:p>
        </w:tc>
        <w:tc>
          <w:tcPr>
            <w:tcW w:w="1757" w:type="dxa"/>
          </w:tcPr>
          <w:p>
            <w:pPr>
              <w:pStyle w:val="0"/>
              <w:jc w:val="center"/>
            </w:pPr>
            <w:r>
              <w:rPr>
                <w:sz w:val="20"/>
              </w:rPr>
              <w:t xml:space="preserve">14218319,0</w:t>
            </w:r>
          </w:p>
        </w:tc>
      </w:tr>
      <w:tr>
        <w:tc>
          <w:tcPr>
            <w:tcW w:w="3798" w:type="dxa"/>
          </w:tcPr>
          <w:p>
            <w:pPr>
              <w:pStyle w:val="0"/>
            </w:pPr>
            <w:r>
              <w:rPr>
                <w:sz w:val="20"/>
              </w:rPr>
              <w:t xml:space="preserve">Расходы - всего</w:t>
            </w:r>
          </w:p>
        </w:tc>
        <w:tc>
          <w:tcPr>
            <w:tcW w:w="1757" w:type="dxa"/>
          </w:tcPr>
          <w:p>
            <w:pPr>
              <w:pStyle w:val="0"/>
              <w:jc w:val="center"/>
            </w:pPr>
            <w:r>
              <w:rPr>
                <w:sz w:val="20"/>
              </w:rPr>
              <w:t xml:space="preserve">80572744,0</w:t>
            </w:r>
          </w:p>
        </w:tc>
        <w:tc>
          <w:tcPr>
            <w:tcW w:w="1757" w:type="dxa"/>
          </w:tcPr>
          <w:p>
            <w:pPr>
              <w:pStyle w:val="0"/>
              <w:jc w:val="center"/>
            </w:pPr>
            <w:r>
              <w:rPr>
                <w:sz w:val="20"/>
              </w:rPr>
              <w:t xml:space="preserve">80633957,5</w:t>
            </w:r>
          </w:p>
        </w:tc>
        <w:tc>
          <w:tcPr>
            <w:tcW w:w="1757" w:type="dxa"/>
          </w:tcPr>
          <w:p>
            <w:pPr>
              <w:pStyle w:val="0"/>
              <w:jc w:val="center"/>
            </w:pPr>
            <w:r>
              <w:rPr>
                <w:sz w:val="20"/>
              </w:rPr>
              <w:t xml:space="preserve">82239297,3</w:t>
            </w:r>
          </w:p>
        </w:tc>
      </w:tr>
      <w:tr>
        <w:tc>
          <w:tcPr>
            <w:tcW w:w="3798" w:type="dxa"/>
          </w:tcPr>
          <w:p>
            <w:pPr>
              <w:pStyle w:val="0"/>
            </w:pPr>
            <w:r>
              <w:rPr>
                <w:sz w:val="20"/>
              </w:rPr>
              <w:t xml:space="preserve">Дефицит</w:t>
            </w:r>
          </w:p>
        </w:tc>
        <w:tc>
          <w:tcPr>
            <w:tcW w:w="1757" w:type="dxa"/>
          </w:tcPr>
          <w:p>
            <w:pPr>
              <w:pStyle w:val="0"/>
              <w:jc w:val="center"/>
            </w:pPr>
            <w:r>
              <w:rPr>
                <w:sz w:val="20"/>
              </w:rPr>
              <w:t xml:space="preserve">-4959146,6</w:t>
            </w:r>
          </w:p>
        </w:tc>
        <w:tc>
          <w:tcPr>
            <w:tcW w:w="1757" w:type="dxa"/>
          </w:tcPr>
          <w:p>
            <w:pPr>
              <w:pStyle w:val="0"/>
              <w:jc w:val="center"/>
            </w:pPr>
            <w:r>
              <w:rPr>
                <w:sz w:val="20"/>
              </w:rPr>
              <w:t xml:space="preserve">-4997374,2</w:t>
            </w:r>
          </w:p>
        </w:tc>
        <w:tc>
          <w:tcPr>
            <w:tcW w:w="1757" w:type="dxa"/>
          </w:tcPr>
          <w:p>
            <w:pPr>
              <w:pStyle w:val="0"/>
              <w:jc w:val="center"/>
            </w:pPr>
            <w:r>
              <w:rPr>
                <w:sz w:val="20"/>
              </w:rPr>
              <w:t xml:space="preserve">-4753639,9</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4</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07.07.2020 N 523-р</w:t>
      </w:r>
    </w:p>
    <w:p>
      <w:pPr>
        <w:pStyle w:val="0"/>
        <w:jc w:val="both"/>
      </w:pPr>
      <w:r>
        <w:rPr>
          <w:sz w:val="20"/>
        </w:rPr>
      </w:r>
    </w:p>
    <w:bookmarkStart w:id="758" w:name="P758"/>
    <w:bookmarkEnd w:id="758"/>
    <w:p>
      <w:pPr>
        <w:pStyle w:val="2"/>
        <w:jc w:val="center"/>
      </w:pPr>
      <w:r>
        <w:rPr>
          <w:sz w:val="20"/>
        </w:rPr>
        <w:t xml:space="preserve">ОСНОВНЫЕ ХАРАКТЕРИСТИКИ</w:t>
      </w:r>
    </w:p>
    <w:p>
      <w:pPr>
        <w:pStyle w:val="2"/>
        <w:jc w:val="center"/>
      </w:pPr>
      <w:r>
        <w:rPr>
          <w:sz w:val="20"/>
        </w:rPr>
        <w:t xml:space="preserve">ОБЛАСТНОГО БЮДЖЕТА НА 2021 ГОД И НА ПЛАНОВЫЙ ПЕРИОД</w:t>
      </w:r>
    </w:p>
    <w:p>
      <w:pPr>
        <w:pStyle w:val="2"/>
        <w:jc w:val="center"/>
      </w:pPr>
      <w:r>
        <w:rPr>
          <w:sz w:val="20"/>
        </w:rPr>
        <w:t xml:space="preserve">2022 И 2023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98"/>
        <w:gridCol w:w="1757"/>
        <w:gridCol w:w="1757"/>
        <w:gridCol w:w="1757"/>
      </w:tblGrid>
      <w:tr>
        <w:tc>
          <w:tcPr>
            <w:tcW w:w="3798" w:type="dxa"/>
            <w:vMerge w:val="restart"/>
          </w:tcPr>
          <w:p>
            <w:pPr>
              <w:pStyle w:val="0"/>
              <w:jc w:val="center"/>
            </w:pPr>
            <w:r>
              <w:rPr>
                <w:sz w:val="20"/>
              </w:rPr>
              <w:t xml:space="preserve">Показатели</w:t>
            </w:r>
          </w:p>
        </w:tc>
        <w:tc>
          <w:tcPr>
            <w:gridSpan w:val="3"/>
            <w:tcW w:w="5271" w:type="dxa"/>
          </w:tcPr>
          <w:p>
            <w:pPr>
              <w:pStyle w:val="0"/>
              <w:jc w:val="center"/>
            </w:pPr>
            <w:r>
              <w:rPr>
                <w:sz w:val="20"/>
              </w:rPr>
              <w:t xml:space="preserve">Объем в тыс. рублей</w:t>
            </w:r>
          </w:p>
        </w:tc>
      </w:tr>
      <w:tr>
        <w:tc>
          <w:tcPr>
            <w:vMerge w:val="continue"/>
          </w:tcPr>
          <w:p/>
        </w:tc>
        <w:tc>
          <w:tcPr>
            <w:tcW w:w="1757" w:type="dxa"/>
          </w:tcPr>
          <w:p>
            <w:pPr>
              <w:pStyle w:val="0"/>
              <w:jc w:val="center"/>
            </w:pPr>
            <w:r>
              <w:rPr>
                <w:sz w:val="20"/>
              </w:rPr>
              <w:t xml:space="preserve">2021 год</w:t>
            </w:r>
          </w:p>
        </w:tc>
        <w:tc>
          <w:tcPr>
            <w:tcW w:w="1757" w:type="dxa"/>
          </w:tcPr>
          <w:p>
            <w:pPr>
              <w:pStyle w:val="0"/>
              <w:jc w:val="center"/>
            </w:pPr>
            <w:r>
              <w:rPr>
                <w:sz w:val="20"/>
              </w:rPr>
              <w:t xml:space="preserve">2022 год</w:t>
            </w:r>
          </w:p>
        </w:tc>
        <w:tc>
          <w:tcPr>
            <w:tcW w:w="1757" w:type="dxa"/>
          </w:tcPr>
          <w:p>
            <w:pPr>
              <w:pStyle w:val="0"/>
              <w:jc w:val="center"/>
            </w:pPr>
            <w:r>
              <w:rPr>
                <w:sz w:val="20"/>
              </w:rPr>
              <w:t xml:space="preserve">2023 год</w:t>
            </w:r>
          </w:p>
        </w:tc>
      </w:tr>
      <w:tr>
        <w:tc>
          <w:tcPr>
            <w:tcW w:w="3798" w:type="dxa"/>
          </w:tcPr>
          <w:p>
            <w:pPr>
              <w:pStyle w:val="0"/>
            </w:pPr>
            <w:r>
              <w:rPr>
                <w:sz w:val="20"/>
              </w:rPr>
              <w:t xml:space="preserve">Доходы - всего</w:t>
            </w:r>
          </w:p>
        </w:tc>
        <w:tc>
          <w:tcPr>
            <w:tcW w:w="1757" w:type="dxa"/>
          </w:tcPr>
          <w:p>
            <w:pPr>
              <w:pStyle w:val="0"/>
              <w:jc w:val="center"/>
            </w:pPr>
            <w:r>
              <w:rPr>
                <w:sz w:val="20"/>
              </w:rPr>
              <w:t xml:space="preserve">62942229,5</w:t>
            </w:r>
          </w:p>
        </w:tc>
        <w:tc>
          <w:tcPr>
            <w:tcW w:w="1757" w:type="dxa"/>
          </w:tcPr>
          <w:p>
            <w:pPr>
              <w:pStyle w:val="0"/>
              <w:jc w:val="center"/>
            </w:pPr>
            <w:r>
              <w:rPr>
                <w:sz w:val="20"/>
              </w:rPr>
              <w:t xml:space="preserve">62339736,4</w:t>
            </w:r>
          </w:p>
        </w:tc>
        <w:tc>
          <w:tcPr>
            <w:tcW w:w="1757" w:type="dxa"/>
          </w:tcPr>
          <w:p>
            <w:pPr>
              <w:pStyle w:val="0"/>
              <w:jc w:val="center"/>
            </w:pPr>
            <w:r>
              <w:rPr>
                <w:sz w:val="20"/>
              </w:rPr>
              <w:t xml:space="preserve">63576759,5</w:t>
            </w:r>
          </w:p>
        </w:tc>
      </w:tr>
      <w:tr>
        <w:tc>
          <w:tcPr>
            <w:tcW w:w="3798" w:type="dxa"/>
          </w:tcPr>
          <w:p>
            <w:pPr>
              <w:pStyle w:val="0"/>
            </w:pPr>
            <w:r>
              <w:rPr>
                <w:sz w:val="20"/>
              </w:rPr>
              <w:t xml:space="preserve">в том числе:</w:t>
            </w:r>
          </w:p>
        </w:tc>
        <w:tc>
          <w:tcPr>
            <w:tcW w:w="1757" w:type="dxa"/>
          </w:tcPr>
          <w:p>
            <w:pPr>
              <w:pStyle w:val="0"/>
            </w:pPr>
            <w:r>
              <w:rPr>
                <w:sz w:val="20"/>
              </w:rPr>
            </w:r>
          </w:p>
        </w:tc>
        <w:tc>
          <w:tcPr>
            <w:tcW w:w="1757" w:type="dxa"/>
          </w:tcPr>
          <w:p>
            <w:pPr>
              <w:pStyle w:val="0"/>
            </w:pPr>
            <w:r>
              <w:rPr>
                <w:sz w:val="20"/>
              </w:rPr>
            </w:r>
          </w:p>
        </w:tc>
        <w:tc>
          <w:tcPr>
            <w:tcW w:w="1757" w:type="dxa"/>
          </w:tcPr>
          <w:p>
            <w:pPr>
              <w:pStyle w:val="0"/>
            </w:pPr>
            <w:r>
              <w:rPr>
                <w:sz w:val="20"/>
              </w:rPr>
            </w:r>
          </w:p>
        </w:tc>
      </w:tr>
      <w:tr>
        <w:tc>
          <w:tcPr>
            <w:tcW w:w="3798" w:type="dxa"/>
          </w:tcPr>
          <w:p>
            <w:pPr>
              <w:pStyle w:val="0"/>
            </w:pPr>
            <w:r>
              <w:rPr>
                <w:sz w:val="20"/>
              </w:rPr>
              <w:t xml:space="preserve">налоговые и неналоговые доходы</w:t>
            </w:r>
          </w:p>
        </w:tc>
        <w:tc>
          <w:tcPr>
            <w:tcW w:w="1757" w:type="dxa"/>
          </w:tcPr>
          <w:p>
            <w:pPr>
              <w:pStyle w:val="0"/>
              <w:jc w:val="center"/>
            </w:pPr>
            <w:r>
              <w:rPr>
                <w:sz w:val="20"/>
              </w:rPr>
              <w:t xml:space="preserve">43955137,1</w:t>
            </w:r>
          </w:p>
        </w:tc>
        <w:tc>
          <w:tcPr>
            <w:tcW w:w="1757" w:type="dxa"/>
          </w:tcPr>
          <w:p>
            <w:pPr>
              <w:pStyle w:val="0"/>
              <w:jc w:val="center"/>
            </w:pPr>
            <w:r>
              <w:rPr>
                <w:sz w:val="20"/>
              </w:rPr>
              <w:t xml:space="preserve">47195460,2</w:t>
            </w:r>
          </w:p>
        </w:tc>
        <w:tc>
          <w:tcPr>
            <w:tcW w:w="1757" w:type="dxa"/>
          </w:tcPr>
          <w:p>
            <w:pPr>
              <w:pStyle w:val="0"/>
              <w:jc w:val="center"/>
            </w:pPr>
            <w:r>
              <w:rPr>
                <w:sz w:val="20"/>
              </w:rPr>
              <w:t xml:space="preserve">49358440,5</w:t>
            </w:r>
          </w:p>
        </w:tc>
      </w:tr>
      <w:tr>
        <w:tc>
          <w:tcPr>
            <w:tcW w:w="3798" w:type="dxa"/>
          </w:tcPr>
          <w:p>
            <w:pPr>
              <w:pStyle w:val="0"/>
            </w:pPr>
            <w:r>
              <w:rPr>
                <w:sz w:val="20"/>
              </w:rPr>
              <w:t xml:space="preserve">из них доходы дорожного фонда</w:t>
            </w:r>
          </w:p>
        </w:tc>
        <w:tc>
          <w:tcPr>
            <w:tcW w:w="1757" w:type="dxa"/>
          </w:tcPr>
          <w:p>
            <w:pPr>
              <w:pStyle w:val="0"/>
              <w:jc w:val="center"/>
            </w:pPr>
            <w:r>
              <w:rPr>
                <w:sz w:val="20"/>
              </w:rPr>
              <w:t xml:space="preserve">5560947,2</w:t>
            </w:r>
          </w:p>
        </w:tc>
        <w:tc>
          <w:tcPr>
            <w:tcW w:w="1757" w:type="dxa"/>
          </w:tcPr>
          <w:p>
            <w:pPr>
              <w:pStyle w:val="0"/>
              <w:jc w:val="center"/>
            </w:pPr>
            <w:r>
              <w:rPr>
                <w:sz w:val="20"/>
              </w:rPr>
              <w:t xml:space="preserve">6714956,3</w:t>
            </w:r>
          </w:p>
        </w:tc>
        <w:tc>
          <w:tcPr>
            <w:tcW w:w="1757" w:type="dxa"/>
          </w:tcPr>
          <w:p>
            <w:pPr>
              <w:pStyle w:val="0"/>
              <w:jc w:val="center"/>
            </w:pPr>
            <w:r>
              <w:rPr>
                <w:sz w:val="20"/>
              </w:rPr>
              <w:t xml:space="preserve">6945958,7</w:t>
            </w:r>
          </w:p>
        </w:tc>
      </w:tr>
      <w:tr>
        <w:tc>
          <w:tcPr>
            <w:tcW w:w="3798" w:type="dxa"/>
          </w:tcPr>
          <w:p>
            <w:pPr>
              <w:pStyle w:val="0"/>
            </w:pPr>
            <w:r>
              <w:rPr>
                <w:sz w:val="20"/>
              </w:rPr>
              <w:t xml:space="preserve">безвозмездные поступления</w:t>
            </w:r>
          </w:p>
        </w:tc>
        <w:tc>
          <w:tcPr>
            <w:tcW w:w="1757" w:type="dxa"/>
          </w:tcPr>
          <w:p>
            <w:pPr>
              <w:pStyle w:val="0"/>
              <w:jc w:val="center"/>
            </w:pPr>
            <w:r>
              <w:rPr>
                <w:sz w:val="20"/>
              </w:rPr>
              <w:t xml:space="preserve">18987092,4</w:t>
            </w:r>
          </w:p>
        </w:tc>
        <w:tc>
          <w:tcPr>
            <w:tcW w:w="1757" w:type="dxa"/>
          </w:tcPr>
          <w:p>
            <w:pPr>
              <w:pStyle w:val="0"/>
              <w:jc w:val="center"/>
            </w:pPr>
            <w:r>
              <w:rPr>
                <w:sz w:val="20"/>
              </w:rPr>
              <w:t xml:space="preserve">15144276,2</w:t>
            </w:r>
          </w:p>
        </w:tc>
        <w:tc>
          <w:tcPr>
            <w:tcW w:w="1757" w:type="dxa"/>
          </w:tcPr>
          <w:p>
            <w:pPr>
              <w:pStyle w:val="0"/>
              <w:jc w:val="center"/>
            </w:pPr>
            <w:r>
              <w:rPr>
                <w:sz w:val="20"/>
              </w:rPr>
              <w:t xml:space="preserve">14218319,0</w:t>
            </w:r>
          </w:p>
        </w:tc>
      </w:tr>
      <w:tr>
        <w:tc>
          <w:tcPr>
            <w:tcW w:w="3798" w:type="dxa"/>
          </w:tcPr>
          <w:p>
            <w:pPr>
              <w:pStyle w:val="0"/>
            </w:pPr>
            <w:r>
              <w:rPr>
                <w:sz w:val="20"/>
              </w:rPr>
              <w:t xml:space="preserve">из них доходы дорожного фонда</w:t>
            </w:r>
          </w:p>
        </w:tc>
        <w:tc>
          <w:tcPr>
            <w:tcW w:w="1757" w:type="dxa"/>
          </w:tcPr>
          <w:p>
            <w:pPr>
              <w:pStyle w:val="0"/>
              <w:jc w:val="center"/>
            </w:pPr>
            <w:r>
              <w:rPr>
                <w:sz w:val="20"/>
              </w:rPr>
              <w:t xml:space="preserve">780225,5</w:t>
            </w:r>
          </w:p>
        </w:tc>
        <w:tc>
          <w:tcPr>
            <w:tcW w:w="1757" w:type="dxa"/>
          </w:tcPr>
          <w:p>
            <w:pPr>
              <w:pStyle w:val="0"/>
              <w:jc w:val="center"/>
            </w:pPr>
            <w:r>
              <w:rPr>
                <w:sz w:val="20"/>
              </w:rPr>
              <w:t xml:space="preserve">209673,2</w:t>
            </w:r>
          </w:p>
        </w:tc>
        <w:tc>
          <w:tcPr>
            <w:tcW w:w="1757" w:type="dxa"/>
          </w:tcPr>
          <w:p>
            <w:pPr>
              <w:pStyle w:val="0"/>
              <w:jc w:val="center"/>
            </w:pPr>
            <w:r>
              <w:rPr>
                <w:sz w:val="20"/>
              </w:rPr>
              <w:t xml:space="preserve">0,0</w:t>
            </w:r>
          </w:p>
        </w:tc>
      </w:tr>
      <w:tr>
        <w:tc>
          <w:tcPr>
            <w:tcW w:w="3798" w:type="dxa"/>
          </w:tcPr>
          <w:p>
            <w:pPr>
              <w:pStyle w:val="0"/>
            </w:pPr>
            <w:r>
              <w:rPr>
                <w:sz w:val="20"/>
              </w:rPr>
              <w:t xml:space="preserve">Расходы - всего</w:t>
            </w:r>
          </w:p>
        </w:tc>
        <w:tc>
          <w:tcPr>
            <w:tcW w:w="1757" w:type="dxa"/>
          </w:tcPr>
          <w:p>
            <w:pPr>
              <w:pStyle w:val="0"/>
              <w:jc w:val="center"/>
            </w:pPr>
            <w:r>
              <w:rPr>
                <w:sz w:val="20"/>
              </w:rPr>
              <w:t xml:space="preserve">67901376,1</w:t>
            </w:r>
          </w:p>
        </w:tc>
        <w:tc>
          <w:tcPr>
            <w:tcW w:w="1757" w:type="dxa"/>
          </w:tcPr>
          <w:p>
            <w:pPr>
              <w:pStyle w:val="0"/>
              <w:jc w:val="center"/>
            </w:pPr>
            <w:r>
              <w:rPr>
                <w:sz w:val="20"/>
              </w:rPr>
              <w:t xml:space="preserve">67337110,6</w:t>
            </w:r>
          </w:p>
        </w:tc>
        <w:tc>
          <w:tcPr>
            <w:tcW w:w="1757" w:type="dxa"/>
          </w:tcPr>
          <w:p>
            <w:pPr>
              <w:pStyle w:val="0"/>
              <w:jc w:val="center"/>
            </w:pPr>
            <w:r>
              <w:rPr>
                <w:sz w:val="20"/>
              </w:rPr>
              <w:t xml:space="preserve">68330399,4</w:t>
            </w:r>
          </w:p>
        </w:tc>
      </w:tr>
      <w:tr>
        <w:tc>
          <w:tcPr>
            <w:tcW w:w="3798" w:type="dxa"/>
          </w:tcPr>
          <w:p>
            <w:pPr>
              <w:pStyle w:val="0"/>
            </w:pPr>
            <w:r>
              <w:rPr>
                <w:sz w:val="20"/>
              </w:rPr>
              <w:t xml:space="preserve">в том числе:</w:t>
            </w:r>
          </w:p>
        </w:tc>
        <w:tc>
          <w:tcPr>
            <w:tcW w:w="1757" w:type="dxa"/>
          </w:tcPr>
          <w:p>
            <w:pPr>
              <w:pStyle w:val="0"/>
            </w:pPr>
            <w:r>
              <w:rPr>
                <w:sz w:val="20"/>
              </w:rPr>
            </w:r>
          </w:p>
        </w:tc>
        <w:tc>
          <w:tcPr>
            <w:tcW w:w="1757" w:type="dxa"/>
          </w:tcPr>
          <w:p>
            <w:pPr>
              <w:pStyle w:val="0"/>
            </w:pPr>
            <w:r>
              <w:rPr>
                <w:sz w:val="20"/>
              </w:rPr>
            </w:r>
          </w:p>
        </w:tc>
        <w:tc>
          <w:tcPr>
            <w:tcW w:w="1757" w:type="dxa"/>
          </w:tcPr>
          <w:p>
            <w:pPr>
              <w:pStyle w:val="0"/>
            </w:pPr>
            <w:r>
              <w:rPr>
                <w:sz w:val="20"/>
              </w:rPr>
            </w:r>
          </w:p>
        </w:tc>
      </w:tr>
      <w:tr>
        <w:tc>
          <w:tcPr>
            <w:tcW w:w="3798" w:type="dxa"/>
          </w:tcPr>
          <w:p>
            <w:pPr>
              <w:pStyle w:val="0"/>
            </w:pPr>
            <w:r>
              <w:rPr>
                <w:sz w:val="20"/>
              </w:rPr>
              <w:t xml:space="preserve">действующие обязательства, всего</w:t>
            </w:r>
          </w:p>
        </w:tc>
        <w:tc>
          <w:tcPr>
            <w:tcW w:w="1757" w:type="dxa"/>
          </w:tcPr>
          <w:p>
            <w:pPr>
              <w:pStyle w:val="0"/>
              <w:jc w:val="center"/>
            </w:pPr>
            <w:r>
              <w:rPr>
                <w:sz w:val="20"/>
              </w:rPr>
              <w:t xml:space="preserve">64832738,3</w:t>
            </w:r>
          </w:p>
        </w:tc>
        <w:tc>
          <w:tcPr>
            <w:tcW w:w="1757" w:type="dxa"/>
          </w:tcPr>
          <w:p>
            <w:pPr>
              <w:pStyle w:val="0"/>
              <w:jc w:val="center"/>
            </w:pPr>
            <w:r>
              <w:rPr>
                <w:sz w:val="20"/>
              </w:rPr>
              <w:t xml:space="preserve">65004724,7</w:t>
            </w:r>
          </w:p>
        </w:tc>
        <w:tc>
          <w:tcPr>
            <w:tcW w:w="1757" w:type="dxa"/>
          </w:tcPr>
          <w:p>
            <w:pPr>
              <w:pStyle w:val="0"/>
              <w:jc w:val="center"/>
            </w:pPr>
            <w:r>
              <w:rPr>
                <w:sz w:val="20"/>
              </w:rPr>
              <w:t xml:space="preserve">64444034,2</w:t>
            </w:r>
          </w:p>
        </w:tc>
      </w:tr>
      <w:tr>
        <w:tc>
          <w:tcPr>
            <w:tcW w:w="3798" w:type="dxa"/>
          </w:tcPr>
          <w:p>
            <w:pPr>
              <w:pStyle w:val="0"/>
            </w:pPr>
            <w:r>
              <w:rPr>
                <w:sz w:val="20"/>
              </w:rPr>
              <w:t xml:space="preserve">из них расходные обязательства дорожного фонда</w:t>
            </w:r>
          </w:p>
        </w:tc>
        <w:tc>
          <w:tcPr>
            <w:tcW w:w="1757" w:type="dxa"/>
          </w:tcPr>
          <w:p>
            <w:pPr>
              <w:pStyle w:val="0"/>
              <w:jc w:val="center"/>
            </w:pPr>
            <w:r>
              <w:rPr>
                <w:sz w:val="20"/>
              </w:rPr>
              <w:t xml:space="preserve">6341172,7</w:t>
            </w:r>
          </w:p>
        </w:tc>
        <w:tc>
          <w:tcPr>
            <w:tcW w:w="1757" w:type="dxa"/>
          </w:tcPr>
          <w:p>
            <w:pPr>
              <w:pStyle w:val="0"/>
              <w:jc w:val="center"/>
            </w:pPr>
            <w:r>
              <w:rPr>
                <w:sz w:val="20"/>
              </w:rPr>
              <w:t xml:space="preserve">6924629,5</w:t>
            </w:r>
          </w:p>
        </w:tc>
        <w:tc>
          <w:tcPr>
            <w:tcW w:w="1757" w:type="dxa"/>
          </w:tcPr>
          <w:p>
            <w:pPr>
              <w:pStyle w:val="0"/>
              <w:jc w:val="center"/>
            </w:pPr>
            <w:r>
              <w:rPr>
                <w:sz w:val="20"/>
              </w:rPr>
              <w:t xml:space="preserve">6945958,7</w:t>
            </w:r>
          </w:p>
        </w:tc>
      </w:tr>
      <w:tr>
        <w:tc>
          <w:tcPr>
            <w:tcW w:w="3798" w:type="dxa"/>
          </w:tcPr>
          <w:p>
            <w:pPr>
              <w:pStyle w:val="0"/>
            </w:pPr>
            <w:r>
              <w:rPr>
                <w:sz w:val="20"/>
              </w:rPr>
              <w:t xml:space="preserve">дефицит (-), профицит (+) по действующим обязательствам</w:t>
            </w:r>
          </w:p>
        </w:tc>
        <w:tc>
          <w:tcPr>
            <w:tcW w:w="1757" w:type="dxa"/>
          </w:tcPr>
          <w:p>
            <w:pPr>
              <w:pStyle w:val="0"/>
              <w:jc w:val="center"/>
            </w:pPr>
            <w:r>
              <w:rPr>
                <w:sz w:val="20"/>
              </w:rPr>
              <w:t xml:space="preserve">-1890508,8</w:t>
            </w:r>
          </w:p>
        </w:tc>
        <w:tc>
          <w:tcPr>
            <w:tcW w:w="1757" w:type="dxa"/>
          </w:tcPr>
          <w:p>
            <w:pPr>
              <w:pStyle w:val="0"/>
              <w:jc w:val="center"/>
            </w:pPr>
            <w:r>
              <w:rPr>
                <w:sz w:val="20"/>
              </w:rPr>
              <w:t xml:space="preserve">-2664988,3</w:t>
            </w:r>
          </w:p>
        </w:tc>
        <w:tc>
          <w:tcPr>
            <w:tcW w:w="1757" w:type="dxa"/>
          </w:tcPr>
          <w:p>
            <w:pPr>
              <w:pStyle w:val="0"/>
              <w:jc w:val="center"/>
            </w:pPr>
            <w:r>
              <w:rPr>
                <w:sz w:val="20"/>
              </w:rPr>
              <w:t xml:space="preserve">-867274,7</w:t>
            </w:r>
          </w:p>
        </w:tc>
      </w:tr>
      <w:tr>
        <w:tc>
          <w:tcPr>
            <w:tcW w:w="3798" w:type="dxa"/>
          </w:tcPr>
          <w:p>
            <w:pPr>
              <w:pStyle w:val="0"/>
            </w:pPr>
            <w:r>
              <w:rPr>
                <w:sz w:val="20"/>
              </w:rPr>
              <w:t xml:space="preserve">принимаемые обязательства</w:t>
            </w:r>
          </w:p>
        </w:tc>
        <w:tc>
          <w:tcPr>
            <w:tcW w:w="1757" w:type="dxa"/>
          </w:tcPr>
          <w:p>
            <w:pPr>
              <w:pStyle w:val="0"/>
              <w:jc w:val="center"/>
            </w:pPr>
            <w:r>
              <w:rPr>
                <w:sz w:val="20"/>
              </w:rPr>
              <w:t xml:space="preserve">3068637,8</w:t>
            </w:r>
          </w:p>
        </w:tc>
        <w:tc>
          <w:tcPr>
            <w:tcW w:w="1757" w:type="dxa"/>
          </w:tcPr>
          <w:p>
            <w:pPr>
              <w:pStyle w:val="0"/>
              <w:jc w:val="center"/>
            </w:pPr>
            <w:r>
              <w:rPr>
                <w:sz w:val="20"/>
              </w:rPr>
              <w:t xml:space="preserve">955385,9</w:t>
            </w:r>
          </w:p>
        </w:tc>
        <w:tc>
          <w:tcPr>
            <w:tcW w:w="1757" w:type="dxa"/>
          </w:tcPr>
          <w:p>
            <w:pPr>
              <w:pStyle w:val="0"/>
              <w:jc w:val="center"/>
            </w:pPr>
            <w:r>
              <w:rPr>
                <w:sz w:val="20"/>
              </w:rPr>
              <w:t xml:space="preserve">1036365,2</w:t>
            </w:r>
          </w:p>
        </w:tc>
      </w:tr>
      <w:tr>
        <w:tc>
          <w:tcPr>
            <w:tcW w:w="3798" w:type="dxa"/>
          </w:tcPr>
          <w:p>
            <w:pPr>
              <w:pStyle w:val="0"/>
            </w:pPr>
            <w:r>
              <w:rPr>
                <w:sz w:val="20"/>
              </w:rPr>
              <w:t xml:space="preserve">условно утверждаемые расходы</w:t>
            </w:r>
          </w:p>
        </w:tc>
        <w:tc>
          <w:tcPr>
            <w:tcW w:w="1757" w:type="dxa"/>
          </w:tcPr>
          <w:p>
            <w:pPr>
              <w:pStyle w:val="0"/>
              <w:jc w:val="center"/>
            </w:pPr>
            <w:r>
              <w:rPr>
                <w:sz w:val="20"/>
              </w:rPr>
              <w:t xml:space="preserve">0,0</w:t>
            </w:r>
          </w:p>
        </w:tc>
        <w:tc>
          <w:tcPr>
            <w:tcW w:w="1757" w:type="dxa"/>
          </w:tcPr>
          <w:p>
            <w:pPr>
              <w:pStyle w:val="0"/>
              <w:jc w:val="center"/>
            </w:pPr>
            <w:r>
              <w:rPr>
                <w:sz w:val="20"/>
              </w:rPr>
              <w:t xml:space="preserve">1377000,0</w:t>
            </w:r>
          </w:p>
        </w:tc>
        <w:tc>
          <w:tcPr>
            <w:tcW w:w="1757" w:type="dxa"/>
          </w:tcPr>
          <w:p>
            <w:pPr>
              <w:pStyle w:val="0"/>
              <w:jc w:val="center"/>
            </w:pPr>
            <w:r>
              <w:rPr>
                <w:sz w:val="20"/>
              </w:rPr>
              <w:t xml:space="preserve">2850000,0</w:t>
            </w:r>
          </w:p>
        </w:tc>
      </w:tr>
      <w:tr>
        <w:tc>
          <w:tcPr>
            <w:tcW w:w="3798" w:type="dxa"/>
          </w:tcPr>
          <w:p>
            <w:pPr>
              <w:pStyle w:val="0"/>
            </w:pPr>
            <w:r>
              <w:rPr>
                <w:sz w:val="20"/>
              </w:rPr>
              <w:t xml:space="preserve">Дефицит с учетом действующих и принимаемых обязательств</w:t>
            </w:r>
          </w:p>
        </w:tc>
        <w:tc>
          <w:tcPr>
            <w:tcW w:w="1757" w:type="dxa"/>
          </w:tcPr>
          <w:p>
            <w:pPr>
              <w:pStyle w:val="0"/>
              <w:jc w:val="center"/>
            </w:pPr>
            <w:r>
              <w:rPr>
                <w:sz w:val="20"/>
              </w:rPr>
              <w:t xml:space="preserve">-4959146,6</w:t>
            </w:r>
          </w:p>
        </w:tc>
        <w:tc>
          <w:tcPr>
            <w:tcW w:w="1757" w:type="dxa"/>
          </w:tcPr>
          <w:p>
            <w:pPr>
              <w:pStyle w:val="0"/>
              <w:jc w:val="center"/>
            </w:pPr>
            <w:r>
              <w:rPr>
                <w:sz w:val="20"/>
              </w:rPr>
              <w:t xml:space="preserve">-4997374,2</w:t>
            </w:r>
          </w:p>
        </w:tc>
        <w:tc>
          <w:tcPr>
            <w:tcW w:w="1757" w:type="dxa"/>
          </w:tcPr>
          <w:p>
            <w:pPr>
              <w:pStyle w:val="0"/>
              <w:jc w:val="center"/>
            </w:pPr>
            <w:r>
              <w:rPr>
                <w:sz w:val="20"/>
              </w:rPr>
              <w:t xml:space="preserve">-4753639,9</w:t>
            </w:r>
          </w:p>
        </w:tc>
      </w:tr>
      <w:tr>
        <w:tc>
          <w:tcPr>
            <w:tcW w:w="3798" w:type="dxa"/>
          </w:tcPr>
          <w:p>
            <w:pPr>
              <w:pStyle w:val="0"/>
            </w:pPr>
            <w:r>
              <w:rPr>
                <w:sz w:val="20"/>
              </w:rPr>
            </w:r>
          </w:p>
        </w:tc>
        <w:tc>
          <w:tcPr>
            <w:tcW w:w="1757" w:type="dxa"/>
          </w:tcPr>
          <w:p>
            <w:pPr>
              <w:pStyle w:val="0"/>
              <w:jc w:val="center"/>
            </w:pPr>
            <w:r>
              <w:rPr>
                <w:sz w:val="20"/>
              </w:rPr>
              <w:t xml:space="preserve">на 01.01.2022</w:t>
            </w:r>
          </w:p>
        </w:tc>
        <w:tc>
          <w:tcPr>
            <w:tcW w:w="1757" w:type="dxa"/>
          </w:tcPr>
          <w:p>
            <w:pPr>
              <w:pStyle w:val="0"/>
              <w:jc w:val="center"/>
            </w:pPr>
            <w:r>
              <w:rPr>
                <w:sz w:val="20"/>
              </w:rPr>
              <w:t xml:space="preserve">на 01.01.2023</w:t>
            </w:r>
          </w:p>
        </w:tc>
        <w:tc>
          <w:tcPr>
            <w:tcW w:w="1757" w:type="dxa"/>
          </w:tcPr>
          <w:p>
            <w:pPr>
              <w:pStyle w:val="0"/>
              <w:jc w:val="center"/>
            </w:pPr>
            <w:r>
              <w:rPr>
                <w:sz w:val="20"/>
              </w:rPr>
              <w:t xml:space="preserve">на 01.01.2024</w:t>
            </w:r>
          </w:p>
        </w:tc>
      </w:tr>
      <w:tr>
        <w:tc>
          <w:tcPr>
            <w:tcW w:w="3798" w:type="dxa"/>
          </w:tcPr>
          <w:p>
            <w:pPr>
              <w:pStyle w:val="0"/>
            </w:pPr>
            <w:r>
              <w:rPr>
                <w:sz w:val="20"/>
              </w:rPr>
              <w:t xml:space="preserve">Верхний предел государственного внутреннего долга области, % от доходов за минусом безвозмездных поступлений</w:t>
            </w:r>
          </w:p>
        </w:tc>
        <w:tc>
          <w:tcPr>
            <w:tcW w:w="1757" w:type="dxa"/>
          </w:tcPr>
          <w:p>
            <w:pPr>
              <w:pStyle w:val="0"/>
              <w:jc w:val="center"/>
            </w:pPr>
            <w:r>
              <w:rPr>
                <w:sz w:val="20"/>
              </w:rPr>
              <w:t xml:space="preserve">15</w:t>
            </w:r>
          </w:p>
        </w:tc>
        <w:tc>
          <w:tcPr>
            <w:tcW w:w="1757" w:type="dxa"/>
          </w:tcPr>
          <w:p>
            <w:pPr>
              <w:pStyle w:val="0"/>
              <w:jc w:val="center"/>
            </w:pPr>
            <w:r>
              <w:rPr>
                <w:sz w:val="20"/>
              </w:rPr>
              <w:t xml:space="preserve">14</w:t>
            </w:r>
          </w:p>
        </w:tc>
        <w:tc>
          <w:tcPr>
            <w:tcW w:w="1757" w:type="dxa"/>
          </w:tcPr>
          <w:p>
            <w:pPr>
              <w:pStyle w:val="0"/>
              <w:jc w:val="center"/>
            </w:pPr>
            <w:r>
              <w:rPr>
                <w:sz w:val="20"/>
              </w:rPr>
              <w:t xml:space="preserve">14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5</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07.07.2020 N 523-р</w:t>
      </w:r>
    </w:p>
    <w:p>
      <w:pPr>
        <w:pStyle w:val="0"/>
        <w:jc w:val="both"/>
      </w:pPr>
      <w:r>
        <w:rPr>
          <w:sz w:val="20"/>
        </w:rPr>
      </w:r>
    </w:p>
    <w:bookmarkStart w:id="842" w:name="P842"/>
    <w:bookmarkEnd w:id="842"/>
    <w:p>
      <w:pPr>
        <w:pStyle w:val="2"/>
        <w:jc w:val="center"/>
      </w:pPr>
      <w:r>
        <w:rPr>
          <w:sz w:val="20"/>
        </w:rPr>
        <w:t xml:space="preserve">РАСПРЕДЕЛЕНИЕ</w:t>
      </w:r>
    </w:p>
    <w:p>
      <w:pPr>
        <w:pStyle w:val="2"/>
        <w:jc w:val="center"/>
      </w:pPr>
      <w:r>
        <w:rPr>
          <w:sz w:val="20"/>
        </w:rPr>
        <w:t xml:space="preserve">БЮДЖЕТНЫХ АССИГНОВАНИЙ НА ИСПОЛНЕНИЕ ДЕЙСТВУЮЩИХ</w:t>
      </w:r>
    </w:p>
    <w:p>
      <w:pPr>
        <w:pStyle w:val="2"/>
        <w:jc w:val="center"/>
      </w:pPr>
      <w:r>
        <w:rPr>
          <w:sz w:val="20"/>
        </w:rPr>
        <w:t xml:space="preserve">ОБЯЗАТЕЛЬСТВ ВЛАДИМИРСКОЙ ОБЛАСТИ ПО ГЛАВНЫМ РАСПОРЯДИТЕЛЯМ</w:t>
      </w:r>
    </w:p>
    <w:p>
      <w:pPr>
        <w:pStyle w:val="2"/>
        <w:jc w:val="center"/>
      </w:pPr>
      <w:r>
        <w:rPr>
          <w:sz w:val="20"/>
        </w:rPr>
        <w:t xml:space="preserve">СРЕДСТВ ОБЛАСТНОГО БЮДЖЕТА НА 2021 ГОД И НА ПЛАНОВЫЙ ПЕРИОД</w:t>
      </w:r>
    </w:p>
    <w:p>
      <w:pPr>
        <w:pStyle w:val="2"/>
        <w:jc w:val="center"/>
      </w:pPr>
      <w:r>
        <w:rPr>
          <w:sz w:val="20"/>
        </w:rPr>
        <w:t xml:space="preserve">2022 И 2023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118"/>
        <w:gridCol w:w="1699"/>
        <w:gridCol w:w="1699"/>
        <w:gridCol w:w="1700"/>
      </w:tblGrid>
      <w:tr>
        <w:tc>
          <w:tcPr>
            <w:tcW w:w="850" w:type="dxa"/>
            <w:vMerge w:val="restart"/>
          </w:tcPr>
          <w:p>
            <w:pPr>
              <w:pStyle w:val="0"/>
              <w:jc w:val="center"/>
            </w:pPr>
            <w:r>
              <w:rPr>
                <w:sz w:val="20"/>
              </w:rPr>
              <w:t xml:space="preserve">Глава</w:t>
            </w:r>
          </w:p>
        </w:tc>
        <w:tc>
          <w:tcPr>
            <w:tcW w:w="3118" w:type="dxa"/>
            <w:vMerge w:val="restart"/>
          </w:tcPr>
          <w:p>
            <w:pPr>
              <w:pStyle w:val="0"/>
              <w:jc w:val="center"/>
            </w:pPr>
            <w:r>
              <w:rPr>
                <w:sz w:val="20"/>
              </w:rPr>
              <w:t xml:space="preserve">Наименование главных распорядителей средств областного бюджета</w:t>
            </w:r>
          </w:p>
        </w:tc>
        <w:tc>
          <w:tcPr>
            <w:gridSpan w:val="3"/>
            <w:tcW w:w="5098" w:type="dxa"/>
          </w:tcPr>
          <w:p>
            <w:pPr>
              <w:pStyle w:val="0"/>
              <w:jc w:val="center"/>
            </w:pPr>
            <w:r>
              <w:rPr>
                <w:sz w:val="20"/>
              </w:rPr>
              <w:t xml:space="preserve">Предельные объемы в тыс. руб.</w:t>
            </w:r>
          </w:p>
        </w:tc>
      </w:tr>
      <w:tr>
        <w:tc>
          <w:tcPr>
            <w:vMerge w:val="continue"/>
          </w:tcPr>
          <w:p/>
        </w:tc>
        <w:tc>
          <w:tcPr>
            <w:vMerge w:val="continue"/>
          </w:tcPr>
          <w:p/>
        </w:tc>
        <w:tc>
          <w:tcPr>
            <w:tcW w:w="1699" w:type="dxa"/>
          </w:tcPr>
          <w:p>
            <w:pPr>
              <w:pStyle w:val="0"/>
              <w:jc w:val="center"/>
            </w:pPr>
            <w:r>
              <w:rPr>
                <w:sz w:val="20"/>
              </w:rPr>
              <w:t xml:space="preserve">2021 год</w:t>
            </w:r>
          </w:p>
        </w:tc>
        <w:tc>
          <w:tcPr>
            <w:tcW w:w="1699" w:type="dxa"/>
          </w:tcPr>
          <w:p>
            <w:pPr>
              <w:pStyle w:val="0"/>
              <w:jc w:val="center"/>
            </w:pPr>
            <w:r>
              <w:rPr>
                <w:sz w:val="20"/>
              </w:rPr>
              <w:t xml:space="preserve">2022 год</w:t>
            </w:r>
          </w:p>
        </w:tc>
        <w:tc>
          <w:tcPr>
            <w:tcW w:w="1700" w:type="dxa"/>
          </w:tcPr>
          <w:p>
            <w:pPr>
              <w:pStyle w:val="0"/>
              <w:jc w:val="center"/>
            </w:pPr>
            <w:r>
              <w:rPr>
                <w:sz w:val="20"/>
              </w:rPr>
              <w:t xml:space="preserve">2023 год</w:t>
            </w:r>
          </w:p>
        </w:tc>
      </w:tr>
      <w:tr>
        <w:tc>
          <w:tcPr>
            <w:tcW w:w="850" w:type="dxa"/>
          </w:tcPr>
          <w:p>
            <w:pPr>
              <w:pStyle w:val="0"/>
              <w:jc w:val="center"/>
            </w:pPr>
            <w:r>
              <w:rPr>
                <w:sz w:val="20"/>
              </w:rPr>
              <w:t xml:space="preserve">501</w:t>
            </w:r>
          </w:p>
        </w:tc>
        <w:tc>
          <w:tcPr>
            <w:tcW w:w="3118" w:type="dxa"/>
          </w:tcPr>
          <w:p>
            <w:pPr>
              <w:pStyle w:val="0"/>
            </w:pPr>
            <w:r>
              <w:rPr>
                <w:sz w:val="20"/>
              </w:rPr>
              <w:t xml:space="preserve">Законодательное Собрание Владимирской области</w:t>
            </w:r>
          </w:p>
        </w:tc>
        <w:tc>
          <w:tcPr>
            <w:tcW w:w="1699" w:type="dxa"/>
          </w:tcPr>
          <w:p>
            <w:pPr>
              <w:pStyle w:val="0"/>
              <w:jc w:val="center"/>
            </w:pPr>
            <w:r>
              <w:rPr>
                <w:sz w:val="20"/>
              </w:rPr>
              <w:t xml:space="preserve">126844,6</w:t>
            </w:r>
          </w:p>
        </w:tc>
        <w:tc>
          <w:tcPr>
            <w:tcW w:w="1699" w:type="dxa"/>
          </w:tcPr>
          <w:p>
            <w:pPr>
              <w:pStyle w:val="0"/>
              <w:jc w:val="center"/>
            </w:pPr>
            <w:r>
              <w:rPr>
                <w:sz w:val="20"/>
              </w:rPr>
              <w:t xml:space="preserve">126844,6</w:t>
            </w:r>
          </w:p>
        </w:tc>
        <w:tc>
          <w:tcPr>
            <w:tcW w:w="1700" w:type="dxa"/>
          </w:tcPr>
          <w:p>
            <w:pPr>
              <w:pStyle w:val="0"/>
              <w:jc w:val="center"/>
            </w:pPr>
            <w:r>
              <w:rPr>
                <w:sz w:val="20"/>
              </w:rPr>
              <w:t xml:space="preserve">126844,6</w:t>
            </w:r>
          </w:p>
        </w:tc>
      </w:tr>
      <w:tr>
        <w:tc>
          <w:tcPr>
            <w:tcW w:w="850" w:type="dxa"/>
          </w:tcPr>
          <w:p>
            <w:pPr>
              <w:pStyle w:val="0"/>
              <w:jc w:val="center"/>
            </w:pPr>
            <w:r>
              <w:rPr>
                <w:sz w:val="20"/>
              </w:rPr>
              <w:t xml:space="preserve">503</w:t>
            </w:r>
          </w:p>
        </w:tc>
        <w:tc>
          <w:tcPr>
            <w:tcW w:w="3118" w:type="dxa"/>
          </w:tcPr>
          <w:p>
            <w:pPr>
              <w:pStyle w:val="0"/>
            </w:pPr>
            <w:r>
              <w:rPr>
                <w:sz w:val="20"/>
              </w:rPr>
              <w:t xml:space="preserve">Администрация Владимирской области</w:t>
            </w:r>
          </w:p>
        </w:tc>
        <w:tc>
          <w:tcPr>
            <w:tcW w:w="1699" w:type="dxa"/>
          </w:tcPr>
          <w:p>
            <w:pPr>
              <w:pStyle w:val="0"/>
              <w:jc w:val="center"/>
            </w:pPr>
            <w:r>
              <w:rPr>
                <w:sz w:val="20"/>
              </w:rPr>
              <w:t xml:space="preserve">927004,7</w:t>
            </w:r>
          </w:p>
        </w:tc>
        <w:tc>
          <w:tcPr>
            <w:tcW w:w="1699" w:type="dxa"/>
          </w:tcPr>
          <w:p>
            <w:pPr>
              <w:pStyle w:val="0"/>
              <w:jc w:val="center"/>
            </w:pPr>
            <w:r>
              <w:rPr>
                <w:sz w:val="20"/>
              </w:rPr>
              <w:t xml:space="preserve">919971,8</w:t>
            </w:r>
          </w:p>
        </w:tc>
        <w:tc>
          <w:tcPr>
            <w:tcW w:w="1700" w:type="dxa"/>
          </w:tcPr>
          <w:p>
            <w:pPr>
              <w:pStyle w:val="0"/>
              <w:jc w:val="center"/>
            </w:pPr>
            <w:r>
              <w:rPr>
                <w:sz w:val="20"/>
              </w:rPr>
              <w:t xml:space="preserve">919971,8</w:t>
            </w:r>
          </w:p>
        </w:tc>
      </w:tr>
      <w:tr>
        <w:tc>
          <w:tcPr>
            <w:tcW w:w="850" w:type="dxa"/>
          </w:tcPr>
          <w:p>
            <w:pPr>
              <w:pStyle w:val="0"/>
              <w:jc w:val="center"/>
            </w:pPr>
            <w:r>
              <w:rPr>
                <w:sz w:val="20"/>
              </w:rPr>
              <w:t xml:space="preserve">504</w:t>
            </w:r>
          </w:p>
        </w:tc>
        <w:tc>
          <w:tcPr>
            <w:tcW w:w="3118" w:type="dxa"/>
          </w:tcPr>
          <w:p>
            <w:pPr>
              <w:pStyle w:val="0"/>
            </w:pPr>
            <w:r>
              <w:rPr>
                <w:sz w:val="20"/>
              </w:rPr>
              <w:t xml:space="preserve">Департамент региональной политики Владимирской области</w:t>
            </w:r>
          </w:p>
        </w:tc>
        <w:tc>
          <w:tcPr>
            <w:tcW w:w="1699" w:type="dxa"/>
          </w:tcPr>
          <w:p>
            <w:pPr>
              <w:pStyle w:val="0"/>
              <w:jc w:val="center"/>
            </w:pPr>
            <w:r>
              <w:rPr>
                <w:sz w:val="20"/>
              </w:rPr>
              <w:t xml:space="preserve">2830,5</w:t>
            </w:r>
          </w:p>
        </w:tc>
        <w:tc>
          <w:tcPr>
            <w:tcW w:w="1699" w:type="dxa"/>
          </w:tcPr>
          <w:p>
            <w:pPr>
              <w:pStyle w:val="0"/>
              <w:jc w:val="center"/>
            </w:pPr>
            <w:r>
              <w:rPr>
                <w:sz w:val="20"/>
              </w:rPr>
              <w:t xml:space="preserve">2830,5</w:t>
            </w:r>
          </w:p>
        </w:tc>
        <w:tc>
          <w:tcPr>
            <w:tcW w:w="1700" w:type="dxa"/>
          </w:tcPr>
          <w:p>
            <w:pPr>
              <w:pStyle w:val="0"/>
              <w:jc w:val="center"/>
            </w:pPr>
            <w:r>
              <w:rPr>
                <w:sz w:val="20"/>
              </w:rPr>
              <w:t xml:space="preserve">2830,5</w:t>
            </w:r>
          </w:p>
        </w:tc>
      </w:tr>
      <w:tr>
        <w:tc>
          <w:tcPr>
            <w:tcW w:w="850" w:type="dxa"/>
          </w:tcPr>
          <w:p>
            <w:pPr>
              <w:pStyle w:val="0"/>
              <w:jc w:val="center"/>
            </w:pPr>
            <w:r>
              <w:rPr>
                <w:sz w:val="20"/>
              </w:rPr>
              <w:t xml:space="preserve">505</w:t>
            </w:r>
          </w:p>
        </w:tc>
        <w:tc>
          <w:tcPr>
            <w:tcW w:w="3118" w:type="dxa"/>
          </w:tcPr>
          <w:p>
            <w:pPr>
              <w:pStyle w:val="0"/>
            </w:pPr>
            <w:r>
              <w:rPr>
                <w:sz w:val="20"/>
              </w:rPr>
              <w:t xml:space="preserve">Счетная палата Владимирской области</w:t>
            </w:r>
          </w:p>
        </w:tc>
        <w:tc>
          <w:tcPr>
            <w:tcW w:w="1699" w:type="dxa"/>
          </w:tcPr>
          <w:p>
            <w:pPr>
              <w:pStyle w:val="0"/>
              <w:jc w:val="center"/>
            </w:pPr>
            <w:r>
              <w:rPr>
                <w:sz w:val="20"/>
              </w:rPr>
              <w:t xml:space="preserve">52086,3</w:t>
            </w:r>
          </w:p>
        </w:tc>
        <w:tc>
          <w:tcPr>
            <w:tcW w:w="1699" w:type="dxa"/>
          </w:tcPr>
          <w:p>
            <w:pPr>
              <w:pStyle w:val="0"/>
              <w:jc w:val="center"/>
            </w:pPr>
            <w:r>
              <w:rPr>
                <w:sz w:val="20"/>
              </w:rPr>
              <w:t xml:space="preserve">52086,3</w:t>
            </w:r>
          </w:p>
        </w:tc>
        <w:tc>
          <w:tcPr>
            <w:tcW w:w="1700" w:type="dxa"/>
          </w:tcPr>
          <w:p>
            <w:pPr>
              <w:pStyle w:val="0"/>
              <w:jc w:val="center"/>
            </w:pPr>
            <w:r>
              <w:rPr>
                <w:sz w:val="20"/>
              </w:rPr>
              <w:t xml:space="preserve">52086,3</w:t>
            </w:r>
          </w:p>
        </w:tc>
      </w:tr>
      <w:tr>
        <w:tc>
          <w:tcPr>
            <w:tcW w:w="850" w:type="dxa"/>
          </w:tcPr>
          <w:p>
            <w:pPr>
              <w:pStyle w:val="0"/>
              <w:jc w:val="center"/>
            </w:pPr>
            <w:r>
              <w:rPr>
                <w:sz w:val="20"/>
              </w:rPr>
              <w:t xml:space="preserve">508</w:t>
            </w:r>
          </w:p>
        </w:tc>
        <w:tc>
          <w:tcPr>
            <w:tcW w:w="3118" w:type="dxa"/>
          </w:tcPr>
          <w:p>
            <w:pPr>
              <w:pStyle w:val="0"/>
            </w:pPr>
            <w:r>
              <w:rPr>
                <w:sz w:val="20"/>
              </w:rPr>
              <w:t xml:space="preserve">Избирательная комиссия Владимирской области</w:t>
            </w:r>
          </w:p>
        </w:tc>
        <w:tc>
          <w:tcPr>
            <w:tcW w:w="1699" w:type="dxa"/>
          </w:tcPr>
          <w:p>
            <w:pPr>
              <w:pStyle w:val="0"/>
              <w:jc w:val="center"/>
            </w:pPr>
            <w:r>
              <w:rPr>
                <w:sz w:val="20"/>
              </w:rPr>
              <w:t xml:space="preserve">61068,4</w:t>
            </w:r>
          </w:p>
        </w:tc>
        <w:tc>
          <w:tcPr>
            <w:tcW w:w="1699" w:type="dxa"/>
          </w:tcPr>
          <w:p>
            <w:pPr>
              <w:pStyle w:val="0"/>
              <w:jc w:val="center"/>
            </w:pPr>
            <w:r>
              <w:rPr>
                <w:sz w:val="20"/>
              </w:rPr>
              <w:t xml:space="preserve">61068,4</w:t>
            </w:r>
          </w:p>
        </w:tc>
        <w:tc>
          <w:tcPr>
            <w:tcW w:w="1700" w:type="dxa"/>
          </w:tcPr>
          <w:p>
            <w:pPr>
              <w:pStyle w:val="0"/>
              <w:jc w:val="center"/>
            </w:pPr>
            <w:r>
              <w:rPr>
                <w:sz w:val="20"/>
              </w:rPr>
              <w:t xml:space="preserve">238107,9</w:t>
            </w:r>
          </w:p>
        </w:tc>
      </w:tr>
      <w:tr>
        <w:tc>
          <w:tcPr>
            <w:tcW w:w="850" w:type="dxa"/>
          </w:tcPr>
          <w:p>
            <w:pPr>
              <w:pStyle w:val="0"/>
              <w:jc w:val="center"/>
            </w:pPr>
            <w:r>
              <w:rPr>
                <w:sz w:val="20"/>
              </w:rPr>
              <w:t xml:space="preserve">513</w:t>
            </w:r>
          </w:p>
        </w:tc>
        <w:tc>
          <w:tcPr>
            <w:tcW w:w="3118" w:type="dxa"/>
          </w:tcPr>
          <w:p>
            <w:pPr>
              <w:pStyle w:val="0"/>
            </w:pPr>
            <w:r>
              <w:rPr>
                <w:sz w:val="20"/>
              </w:rPr>
              <w:t xml:space="preserve">Департамент транспорта и дорожного хозяйства Владимирской области</w:t>
            </w:r>
          </w:p>
        </w:tc>
        <w:tc>
          <w:tcPr>
            <w:tcW w:w="1699" w:type="dxa"/>
          </w:tcPr>
          <w:p>
            <w:pPr>
              <w:pStyle w:val="0"/>
              <w:jc w:val="center"/>
            </w:pPr>
            <w:r>
              <w:rPr>
                <w:sz w:val="20"/>
              </w:rPr>
              <w:t xml:space="preserve">6791073,7</w:t>
            </w:r>
          </w:p>
        </w:tc>
        <w:tc>
          <w:tcPr>
            <w:tcW w:w="1699" w:type="dxa"/>
          </w:tcPr>
          <w:p>
            <w:pPr>
              <w:pStyle w:val="0"/>
              <w:jc w:val="center"/>
            </w:pPr>
            <w:r>
              <w:rPr>
                <w:sz w:val="20"/>
              </w:rPr>
              <w:t xml:space="preserve">7374529,5</w:t>
            </w:r>
          </w:p>
        </w:tc>
        <w:tc>
          <w:tcPr>
            <w:tcW w:w="1700" w:type="dxa"/>
          </w:tcPr>
          <w:p>
            <w:pPr>
              <w:pStyle w:val="0"/>
              <w:jc w:val="center"/>
            </w:pPr>
            <w:r>
              <w:rPr>
                <w:sz w:val="20"/>
              </w:rPr>
              <w:t xml:space="preserve">7251720,7</w:t>
            </w:r>
          </w:p>
        </w:tc>
      </w:tr>
      <w:tr>
        <w:tc>
          <w:tcPr>
            <w:tcW w:w="850" w:type="dxa"/>
          </w:tcPr>
          <w:p>
            <w:pPr>
              <w:pStyle w:val="0"/>
              <w:jc w:val="center"/>
            </w:pPr>
            <w:r>
              <w:rPr>
                <w:sz w:val="20"/>
              </w:rPr>
              <w:t xml:space="preserve">518</w:t>
            </w:r>
          </w:p>
        </w:tc>
        <w:tc>
          <w:tcPr>
            <w:tcW w:w="3118" w:type="dxa"/>
          </w:tcPr>
          <w:p>
            <w:pPr>
              <w:pStyle w:val="0"/>
            </w:pPr>
            <w:r>
              <w:rPr>
                <w:sz w:val="20"/>
              </w:rPr>
              <w:t xml:space="preserve">Департамент юстиции Владимирской области</w:t>
            </w:r>
          </w:p>
        </w:tc>
        <w:tc>
          <w:tcPr>
            <w:tcW w:w="1699" w:type="dxa"/>
          </w:tcPr>
          <w:p>
            <w:pPr>
              <w:pStyle w:val="0"/>
              <w:jc w:val="center"/>
            </w:pPr>
            <w:r>
              <w:rPr>
                <w:sz w:val="20"/>
              </w:rPr>
              <w:t xml:space="preserve">317545,5</w:t>
            </w:r>
          </w:p>
        </w:tc>
        <w:tc>
          <w:tcPr>
            <w:tcW w:w="1699" w:type="dxa"/>
          </w:tcPr>
          <w:p>
            <w:pPr>
              <w:pStyle w:val="0"/>
              <w:jc w:val="center"/>
            </w:pPr>
            <w:r>
              <w:rPr>
                <w:sz w:val="20"/>
              </w:rPr>
              <w:t xml:space="preserve">321110,7</w:t>
            </w:r>
          </w:p>
        </w:tc>
        <w:tc>
          <w:tcPr>
            <w:tcW w:w="1700" w:type="dxa"/>
          </w:tcPr>
          <w:p>
            <w:pPr>
              <w:pStyle w:val="0"/>
              <w:jc w:val="center"/>
            </w:pPr>
            <w:r>
              <w:rPr>
                <w:sz w:val="20"/>
              </w:rPr>
              <w:t xml:space="preserve">321110,7</w:t>
            </w:r>
          </w:p>
        </w:tc>
      </w:tr>
      <w:tr>
        <w:tc>
          <w:tcPr>
            <w:tcW w:w="850" w:type="dxa"/>
          </w:tcPr>
          <w:p>
            <w:pPr>
              <w:pStyle w:val="0"/>
              <w:jc w:val="center"/>
            </w:pPr>
            <w:r>
              <w:rPr>
                <w:sz w:val="20"/>
              </w:rPr>
              <w:t xml:space="preserve">520</w:t>
            </w:r>
          </w:p>
        </w:tc>
        <w:tc>
          <w:tcPr>
            <w:tcW w:w="3118" w:type="dxa"/>
          </w:tcPr>
          <w:p>
            <w:pPr>
              <w:pStyle w:val="0"/>
            </w:pPr>
            <w:r>
              <w:rPr>
                <w:sz w:val="20"/>
              </w:rPr>
              <w:t xml:space="preserve">Департамент промышленности Владимирской области</w:t>
            </w:r>
          </w:p>
        </w:tc>
        <w:tc>
          <w:tcPr>
            <w:tcW w:w="1699" w:type="dxa"/>
          </w:tcPr>
          <w:p>
            <w:pPr>
              <w:pStyle w:val="0"/>
              <w:jc w:val="center"/>
            </w:pPr>
            <w:r>
              <w:rPr>
                <w:sz w:val="20"/>
              </w:rPr>
              <w:t xml:space="preserve">15016,7</w:t>
            </w:r>
          </w:p>
        </w:tc>
        <w:tc>
          <w:tcPr>
            <w:tcW w:w="1699" w:type="dxa"/>
          </w:tcPr>
          <w:p>
            <w:pPr>
              <w:pStyle w:val="0"/>
              <w:jc w:val="center"/>
            </w:pPr>
            <w:r>
              <w:rPr>
                <w:sz w:val="20"/>
              </w:rPr>
              <w:t xml:space="preserve">15016,7</w:t>
            </w:r>
          </w:p>
        </w:tc>
        <w:tc>
          <w:tcPr>
            <w:tcW w:w="1700" w:type="dxa"/>
          </w:tcPr>
          <w:p>
            <w:pPr>
              <w:pStyle w:val="0"/>
              <w:jc w:val="center"/>
            </w:pPr>
            <w:r>
              <w:rPr>
                <w:sz w:val="20"/>
              </w:rPr>
              <w:t xml:space="preserve">15016,7</w:t>
            </w:r>
          </w:p>
        </w:tc>
      </w:tr>
      <w:tr>
        <w:tc>
          <w:tcPr>
            <w:tcW w:w="850" w:type="dxa"/>
          </w:tcPr>
          <w:p>
            <w:pPr>
              <w:pStyle w:val="0"/>
              <w:jc w:val="center"/>
            </w:pPr>
            <w:r>
              <w:rPr>
                <w:sz w:val="20"/>
              </w:rPr>
              <w:t xml:space="preserve">531</w:t>
            </w:r>
          </w:p>
        </w:tc>
        <w:tc>
          <w:tcPr>
            <w:tcW w:w="3118" w:type="dxa"/>
          </w:tcPr>
          <w:p>
            <w:pPr>
              <w:pStyle w:val="0"/>
            </w:pPr>
            <w:r>
              <w:rPr>
                <w:sz w:val="20"/>
              </w:rPr>
              <w:t xml:space="preserve">Инспекция государственного строительного надзора администрации Владимирской области</w:t>
            </w:r>
          </w:p>
        </w:tc>
        <w:tc>
          <w:tcPr>
            <w:tcW w:w="1699" w:type="dxa"/>
          </w:tcPr>
          <w:p>
            <w:pPr>
              <w:pStyle w:val="0"/>
              <w:jc w:val="center"/>
            </w:pPr>
            <w:r>
              <w:rPr>
                <w:sz w:val="20"/>
              </w:rPr>
              <w:t xml:space="preserve">20418,4</w:t>
            </w:r>
          </w:p>
        </w:tc>
        <w:tc>
          <w:tcPr>
            <w:tcW w:w="1699" w:type="dxa"/>
          </w:tcPr>
          <w:p>
            <w:pPr>
              <w:pStyle w:val="0"/>
              <w:jc w:val="center"/>
            </w:pPr>
            <w:r>
              <w:rPr>
                <w:sz w:val="20"/>
              </w:rPr>
              <w:t xml:space="preserve">20418,4</w:t>
            </w:r>
          </w:p>
        </w:tc>
        <w:tc>
          <w:tcPr>
            <w:tcW w:w="1700" w:type="dxa"/>
          </w:tcPr>
          <w:p>
            <w:pPr>
              <w:pStyle w:val="0"/>
              <w:jc w:val="center"/>
            </w:pPr>
            <w:r>
              <w:rPr>
                <w:sz w:val="20"/>
              </w:rPr>
              <w:t xml:space="preserve">20208,4</w:t>
            </w:r>
          </w:p>
        </w:tc>
      </w:tr>
      <w:tr>
        <w:tc>
          <w:tcPr>
            <w:tcW w:w="850" w:type="dxa"/>
          </w:tcPr>
          <w:p>
            <w:pPr>
              <w:pStyle w:val="0"/>
              <w:jc w:val="center"/>
            </w:pPr>
            <w:r>
              <w:rPr>
                <w:sz w:val="20"/>
              </w:rPr>
              <w:t xml:space="preserve">532</w:t>
            </w:r>
          </w:p>
        </w:tc>
        <w:tc>
          <w:tcPr>
            <w:tcW w:w="3118" w:type="dxa"/>
          </w:tcPr>
          <w:p>
            <w:pPr>
              <w:pStyle w:val="0"/>
            </w:pPr>
            <w:r>
              <w:rPr>
                <w:sz w:val="20"/>
              </w:rPr>
              <w:t xml:space="preserve">Департамент архитектуры и строительства Владимирской области</w:t>
            </w:r>
          </w:p>
        </w:tc>
        <w:tc>
          <w:tcPr>
            <w:tcW w:w="1699" w:type="dxa"/>
          </w:tcPr>
          <w:p>
            <w:pPr>
              <w:pStyle w:val="0"/>
              <w:jc w:val="center"/>
            </w:pPr>
            <w:r>
              <w:rPr>
                <w:sz w:val="20"/>
              </w:rPr>
              <w:t xml:space="preserve">1815729,3</w:t>
            </w:r>
          </w:p>
        </w:tc>
        <w:tc>
          <w:tcPr>
            <w:tcW w:w="1699" w:type="dxa"/>
          </w:tcPr>
          <w:p>
            <w:pPr>
              <w:pStyle w:val="0"/>
              <w:jc w:val="center"/>
            </w:pPr>
            <w:r>
              <w:rPr>
                <w:sz w:val="20"/>
              </w:rPr>
              <w:t xml:space="preserve">1122026,0</w:t>
            </w:r>
          </w:p>
        </w:tc>
        <w:tc>
          <w:tcPr>
            <w:tcW w:w="1700" w:type="dxa"/>
          </w:tcPr>
          <w:p>
            <w:pPr>
              <w:pStyle w:val="0"/>
              <w:jc w:val="center"/>
            </w:pPr>
            <w:r>
              <w:rPr>
                <w:sz w:val="20"/>
              </w:rPr>
              <w:t xml:space="preserve">989612,2</w:t>
            </w:r>
          </w:p>
        </w:tc>
      </w:tr>
      <w:tr>
        <w:tc>
          <w:tcPr>
            <w:tcW w:w="850" w:type="dxa"/>
          </w:tcPr>
          <w:p>
            <w:pPr>
              <w:pStyle w:val="0"/>
              <w:jc w:val="center"/>
            </w:pPr>
            <w:r>
              <w:rPr>
                <w:sz w:val="20"/>
              </w:rPr>
              <w:t xml:space="preserve">533</w:t>
            </w:r>
          </w:p>
        </w:tc>
        <w:tc>
          <w:tcPr>
            <w:tcW w:w="3118" w:type="dxa"/>
          </w:tcPr>
          <w:p>
            <w:pPr>
              <w:pStyle w:val="0"/>
            </w:pPr>
            <w:r>
              <w:rPr>
                <w:sz w:val="20"/>
              </w:rPr>
              <w:t xml:space="preserve">Департамент жилищно-коммунального хозяйства Владимирской области</w:t>
            </w:r>
          </w:p>
        </w:tc>
        <w:tc>
          <w:tcPr>
            <w:tcW w:w="1699" w:type="dxa"/>
          </w:tcPr>
          <w:p>
            <w:pPr>
              <w:pStyle w:val="0"/>
              <w:jc w:val="center"/>
            </w:pPr>
            <w:r>
              <w:rPr>
                <w:sz w:val="20"/>
              </w:rPr>
              <w:t xml:space="preserve">1941918,1</w:t>
            </w:r>
          </w:p>
        </w:tc>
        <w:tc>
          <w:tcPr>
            <w:tcW w:w="1699" w:type="dxa"/>
          </w:tcPr>
          <w:p>
            <w:pPr>
              <w:pStyle w:val="0"/>
              <w:jc w:val="center"/>
            </w:pPr>
            <w:r>
              <w:rPr>
                <w:sz w:val="20"/>
              </w:rPr>
              <w:t xml:space="preserve">2915287,1</w:t>
            </w:r>
          </w:p>
        </w:tc>
        <w:tc>
          <w:tcPr>
            <w:tcW w:w="1700" w:type="dxa"/>
          </w:tcPr>
          <w:p>
            <w:pPr>
              <w:pStyle w:val="0"/>
              <w:jc w:val="center"/>
            </w:pPr>
            <w:r>
              <w:rPr>
                <w:sz w:val="20"/>
              </w:rPr>
              <w:t xml:space="preserve">2985424,6</w:t>
            </w:r>
          </w:p>
        </w:tc>
      </w:tr>
      <w:tr>
        <w:tc>
          <w:tcPr>
            <w:tcW w:w="850" w:type="dxa"/>
          </w:tcPr>
          <w:p>
            <w:pPr>
              <w:pStyle w:val="0"/>
              <w:jc w:val="center"/>
            </w:pPr>
            <w:r>
              <w:rPr>
                <w:sz w:val="20"/>
              </w:rPr>
              <w:t xml:space="preserve">535</w:t>
            </w:r>
          </w:p>
        </w:tc>
        <w:tc>
          <w:tcPr>
            <w:tcW w:w="3118" w:type="dxa"/>
          </w:tcPr>
          <w:p>
            <w:pPr>
              <w:pStyle w:val="0"/>
            </w:pPr>
            <w:r>
              <w:rPr>
                <w:sz w:val="20"/>
              </w:rPr>
              <w:t xml:space="preserve">Инспекция государственного жилищного надзора Владимирской области</w:t>
            </w:r>
          </w:p>
        </w:tc>
        <w:tc>
          <w:tcPr>
            <w:tcW w:w="1699" w:type="dxa"/>
          </w:tcPr>
          <w:p>
            <w:pPr>
              <w:pStyle w:val="0"/>
              <w:jc w:val="center"/>
            </w:pPr>
            <w:r>
              <w:rPr>
                <w:sz w:val="20"/>
              </w:rPr>
              <w:t xml:space="preserve">35884,0</w:t>
            </w:r>
          </w:p>
        </w:tc>
        <w:tc>
          <w:tcPr>
            <w:tcW w:w="1699" w:type="dxa"/>
          </w:tcPr>
          <w:p>
            <w:pPr>
              <w:pStyle w:val="0"/>
              <w:jc w:val="center"/>
            </w:pPr>
            <w:r>
              <w:rPr>
                <w:sz w:val="20"/>
              </w:rPr>
              <w:t xml:space="preserve">35884,0</w:t>
            </w:r>
          </w:p>
        </w:tc>
        <w:tc>
          <w:tcPr>
            <w:tcW w:w="1700" w:type="dxa"/>
          </w:tcPr>
          <w:p>
            <w:pPr>
              <w:pStyle w:val="0"/>
              <w:jc w:val="center"/>
            </w:pPr>
            <w:r>
              <w:rPr>
                <w:sz w:val="20"/>
              </w:rPr>
              <w:t xml:space="preserve">35884,0</w:t>
            </w:r>
          </w:p>
        </w:tc>
      </w:tr>
      <w:tr>
        <w:tc>
          <w:tcPr>
            <w:tcW w:w="850" w:type="dxa"/>
          </w:tcPr>
          <w:p>
            <w:pPr>
              <w:pStyle w:val="0"/>
              <w:jc w:val="center"/>
            </w:pPr>
            <w:r>
              <w:rPr>
                <w:sz w:val="20"/>
              </w:rPr>
              <w:t xml:space="preserve">540</w:t>
            </w:r>
          </w:p>
        </w:tc>
        <w:tc>
          <w:tcPr>
            <w:tcW w:w="3118" w:type="dxa"/>
          </w:tcPr>
          <w:p>
            <w:pPr>
              <w:pStyle w:val="0"/>
            </w:pPr>
            <w:r>
              <w:rPr>
                <w:sz w:val="20"/>
              </w:rPr>
              <w:t xml:space="preserve">Департамент государственного регулирования цен и тарифов Владимирской области</w:t>
            </w:r>
          </w:p>
        </w:tc>
        <w:tc>
          <w:tcPr>
            <w:tcW w:w="1699" w:type="dxa"/>
          </w:tcPr>
          <w:p>
            <w:pPr>
              <w:pStyle w:val="0"/>
              <w:jc w:val="center"/>
            </w:pPr>
            <w:r>
              <w:rPr>
                <w:sz w:val="20"/>
              </w:rPr>
              <w:t xml:space="preserve">39828,0</w:t>
            </w:r>
          </w:p>
        </w:tc>
        <w:tc>
          <w:tcPr>
            <w:tcW w:w="1699" w:type="dxa"/>
          </w:tcPr>
          <w:p>
            <w:pPr>
              <w:pStyle w:val="0"/>
              <w:jc w:val="center"/>
            </w:pPr>
            <w:r>
              <w:rPr>
                <w:sz w:val="20"/>
              </w:rPr>
              <w:t xml:space="preserve">39828,0</w:t>
            </w:r>
          </w:p>
        </w:tc>
        <w:tc>
          <w:tcPr>
            <w:tcW w:w="1700" w:type="dxa"/>
          </w:tcPr>
          <w:p>
            <w:pPr>
              <w:pStyle w:val="0"/>
              <w:jc w:val="center"/>
            </w:pPr>
            <w:r>
              <w:rPr>
                <w:sz w:val="20"/>
              </w:rPr>
              <w:t xml:space="preserve">39828,0</w:t>
            </w:r>
          </w:p>
        </w:tc>
      </w:tr>
      <w:tr>
        <w:tc>
          <w:tcPr>
            <w:tcW w:w="850" w:type="dxa"/>
          </w:tcPr>
          <w:p>
            <w:pPr>
              <w:pStyle w:val="0"/>
              <w:jc w:val="center"/>
            </w:pPr>
            <w:r>
              <w:rPr>
                <w:sz w:val="20"/>
              </w:rPr>
              <w:t xml:space="preserve">541</w:t>
            </w:r>
          </w:p>
        </w:tc>
        <w:tc>
          <w:tcPr>
            <w:tcW w:w="3118" w:type="dxa"/>
          </w:tcPr>
          <w:p>
            <w:pPr>
              <w:pStyle w:val="0"/>
            </w:pPr>
            <w:r>
              <w:rPr>
                <w:sz w:val="20"/>
              </w:rPr>
              <w:t xml:space="preserve">Департамент экономического развития Владимирской области</w:t>
            </w:r>
          </w:p>
        </w:tc>
        <w:tc>
          <w:tcPr>
            <w:tcW w:w="1699" w:type="dxa"/>
          </w:tcPr>
          <w:p>
            <w:pPr>
              <w:pStyle w:val="0"/>
              <w:jc w:val="center"/>
            </w:pPr>
            <w:r>
              <w:rPr>
                <w:sz w:val="20"/>
              </w:rPr>
              <w:t xml:space="preserve">86182,2</w:t>
            </w:r>
          </w:p>
        </w:tc>
        <w:tc>
          <w:tcPr>
            <w:tcW w:w="1699" w:type="dxa"/>
          </w:tcPr>
          <w:p>
            <w:pPr>
              <w:pStyle w:val="0"/>
              <w:jc w:val="center"/>
            </w:pPr>
            <w:r>
              <w:rPr>
                <w:sz w:val="20"/>
              </w:rPr>
              <w:t xml:space="preserve">90862,2</w:t>
            </w:r>
          </w:p>
        </w:tc>
        <w:tc>
          <w:tcPr>
            <w:tcW w:w="1700" w:type="dxa"/>
          </w:tcPr>
          <w:p>
            <w:pPr>
              <w:pStyle w:val="0"/>
              <w:jc w:val="center"/>
            </w:pPr>
            <w:r>
              <w:rPr>
                <w:sz w:val="20"/>
              </w:rPr>
              <w:t xml:space="preserve">87122,5</w:t>
            </w:r>
          </w:p>
        </w:tc>
      </w:tr>
      <w:tr>
        <w:tc>
          <w:tcPr>
            <w:tcW w:w="850" w:type="dxa"/>
          </w:tcPr>
          <w:p>
            <w:pPr>
              <w:pStyle w:val="0"/>
              <w:jc w:val="center"/>
            </w:pPr>
            <w:r>
              <w:rPr>
                <w:sz w:val="20"/>
              </w:rPr>
              <w:t xml:space="preserve">542</w:t>
            </w:r>
          </w:p>
        </w:tc>
        <w:tc>
          <w:tcPr>
            <w:tcW w:w="3118" w:type="dxa"/>
          </w:tcPr>
          <w:p>
            <w:pPr>
              <w:pStyle w:val="0"/>
            </w:pPr>
            <w:r>
              <w:rPr>
                <w:sz w:val="20"/>
              </w:rPr>
              <w:t xml:space="preserve">Департамент развития предпринимательства Владимирской области</w:t>
            </w:r>
          </w:p>
        </w:tc>
        <w:tc>
          <w:tcPr>
            <w:tcW w:w="1699" w:type="dxa"/>
          </w:tcPr>
          <w:p>
            <w:pPr>
              <w:pStyle w:val="0"/>
              <w:jc w:val="center"/>
            </w:pPr>
            <w:r>
              <w:rPr>
                <w:sz w:val="20"/>
              </w:rPr>
              <w:t xml:space="preserve">661900,2</w:t>
            </w:r>
          </w:p>
        </w:tc>
        <w:tc>
          <w:tcPr>
            <w:tcW w:w="1699" w:type="dxa"/>
          </w:tcPr>
          <w:p>
            <w:pPr>
              <w:pStyle w:val="0"/>
              <w:jc w:val="center"/>
            </w:pPr>
            <w:r>
              <w:rPr>
                <w:sz w:val="20"/>
              </w:rPr>
              <w:t xml:space="preserve">355239,1</w:t>
            </w:r>
          </w:p>
        </w:tc>
        <w:tc>
          <w:tcPr>
            <w:tcW w:w="1700" w:type="dxa"/>
          </w:tcPr>
          <w:p>
            <w:pPr>
              <w:pStyle w:val="0"/>
              <w:jc w:val="center"/>
            </w:pPr>
            <w:r>
              <w:rPr>
                <w:sz w:val="20"/>
              </w:rPr>
              <w:t xml:space="preserve">360399,1</w:t>
            </w:r>
          </w:p>
        </w:tc>
      </w:tr>
      <w:tr>
        <w:tc>
          <w:tcPr>
            <w:tcW w:w="850" w:type="dxa"/>
          </w:tcPr>
          <w:p>
            <w:pPr>
              <w:pStyle w:val="0"/>
              <w:jc w:val="center"/>
            </w:pPr>
            <w:r>
              <w:rPr>
                <w:sz w:val="20"/>
              </w:rPr>
              <w:t xml:space="preserve">550</w:t>
            </w:r>
          </w:p>
        </w:tc>
        <w:tc>
          <w:tcPr>
            <w:tcW w:w="3118" w:type="dxa"/>
          </w:tcPr>
          <w:p>
            <w:pPr>
              <w:pStyle w:val="0"/>
            </w:pPr>
            <w:r>
              <w:rPr>
                <w:sz w:val="20"/>
              </w:rPr>
              <w:t xml:space="preserve">Департамент природопользования и охраны окружающей среды Владимирской области</w:t>
            </w:r>
          </w:p>
        </w:tc>
        <w:tc>
          <w:tcPr>
            <w:tcW w:w="1699" w:type="dxa"/>
          </w:tcPr>
          <w:p>
            <w:pPr>
              <w:pStyle w:val="0"/>
              <w:jc w:val="center"/>
            </w:pPr>
            <w:r>
              <w:rPr>
                <w:sz w:val="20"/>
              </w:rPr>
              <w:t xml:space="preserve">121523,5</w:t>
            </w:r>
          </w:p>
        </w:tc>
        <w:tc>
          <w:tcPr>
            <w:tcW w:w="1699" w:type="dxa"/>
          </w:tcPr>
          <w:p>
            <w:pPr>
              <w:pStyle w:val="0"/>
              <w:jc w:val="center"/>
            </w:pPr>
            <w:r>
              <w:rPr>
                <w:sz w:val="20"/>
              </w:rPr>
              <w:t xml:space="preserve">109672,2</w:t>
            </w:r>
          </w:p>
        </w:tc>
        <w:tc>
          <w:tcPr>
            <w:tcW w:w="1700" w:type="dxa"/>
          </w:tcPr>
          <w:p>
            <w:pPr>
              <w:pStyle w:val="0"/>
              <w:jc w:val="center"/>
            </w:pPr>
            <w:r>
              <w:rPr>
                <w:sz w:val="20"/>
              </w:rPr>
              <w:t xml:space="preserve">180364,1</w:t>
            </w:r>
          </w:p>
        </w:tc>
      </w:tr>
      <w:tr>
        <w:tc>
          <w:tcPr>
            <w:tcW w:w="850" w:type="dxa"/>
          </w:tcPr>
          <w:p>
            <w:pPr>
              <w:pStyle w:val="0"/>
              <w:jc w:val="center"/>
            </w:pPr>
            <w:r>
              <w:rPr>
                <w:sz w:val="20"/>
              </w:rPr>
              <w:t xml:space="preserve">551</w:t>
            </w:r>
          </w:p>
        </w:tc>
        <w:tc>
          <w:tcPr>
            <w:tcW w:w="3118" w:type="dxa"/>
          </w:tcPr>
          <w:p>
            <w:pPr>
              <w:pStyle w:val="0"/>
            </w:pPr>
            <w:r>
              <w:rPr>
                <w:sz w:val="20"/>
              </w:rPr>
              <w:t xml:space="preserve">Департамент труда и занятости населения Владимирской области</w:t>
            </w:r>
          </w:p>
        </w:tc>
        <w:tc>
          <w:tcPr>
            <w:tcW w:w="1699" w:type="dxa"/>
          </w:tcPr>
          <w:p>
            <w:pPr>
              <w:pStyle w:val="0"/>
              <w:jc w:val="center"/>
            </w:pPr>
            <w:r>
              <w:rPr>
                <w:sz w:val="20"/>
              </w:rPr>
              <w:t xml:space="preserve">955579,2</w:t>
            </w:r>
          </w:p>
        </w:tc>
        <w:tc>
          <w:tcPr>
            <w:tcW w:w="1699" w:type="dxa"/>
          </w:tcPr>
          <w:p>
            <w:pPr>
              <w:pStyle w:val="0"/>
              <w:jc w:val="center"/>
            </w:pPr>
            <w:r>
              <w:rPr>
                <w:sz w:val="20"/>
              </w:rPr>
              <w:t xml:space="preserve">959755,2</w:t>
            </w:r>
          </w:p>
        </w:tc>
        <w:tc>
          <w:tcPr>
            <w:tcW w:w="1700" w:type="dxa"/>
          </w:tcPr>
          <w:p>
            <w:pPr>
              <w:pStyle w:val="0"/>
              <w:jc w:val="center"/>
            </w:pPr>
            <w:r>
              <w:rPr>
                <w:sz w:val="20"/>
              </w:rPr>
              <w:t xml:space="preserve">959581,2</w:t>
            </w:r>
          </w:p>
        </w:tc>
      </w:tr>
      <w:tr>
        <w:tc>
          <w:tcPr>
            <w:tcW w:w="850" w:type="dxa"/>
          </w:tcPr>
          <w:p>
            <w:pPr>
              <w:pStyle w:val="0"/>
              <w:jc w:val="center"/>
            </w:pPr>
            <w:r>
              <w:rPr>
                <w:sz w:val="20"/>
              </w:rPr>
              <w:t xml:space="preserve">554</w:t>
            </w:r>
          </w:p>
        </w:tc>
        <w:tc>
          <w:tcPr>
            <w:tcW w:w="3118" w:type="dxa"/>
          </w:tcPr>
          <w:p>
            <w:pPr>
              <w:pStyle w:val="0"/>
            </w:pPr>
            <w:r>
              <w:rPr>
                <w:sz w:val="20"/>
              </w:rPr>
              <w:t xml:space="preserve">Департамент лесного хозяйства Владимирской области</w:t>
            </w:r>
          </w:p>
        </w:tc>
        <w:tc>
          <w:tcPr>
            <w:tcW w:w="1699" w:type="dxa"/>
          </w:tcPr>
          <w:p>
            <w:pPr>
              <w:pStyle w:val="0"/>
              <w:jc w:val="center"/>
            </w:pPr>
            <w:r>
              <w:rPr>
                <w:sz w:val="20"/>
              </w:rPr>
              <w:t xml:space="preserve">511139,5</w:t>
            </w:r>
          </w:p>
        </w:tc>
        <w:tc>
          <w:tcPr>
            <w:tcW w:w="1699" w:type="dxa"/>
          </w:tcPr>
          <w:p>
            <w:pPr>
              <w:pStyle w:val="0"/>
              <w:jc w:val="center"/>
            </w:pPr>
            <w:r>
              <w:rPr>
                <w:sz w:val="20"/>
              </w:rPr>
              <w:t xml:space="preserve">525440,8</w:t>
            </w:r>
          </w:p>
        </w:tc>
        <w:tc>
          <w:tcPr>
            <w:tcW w:w="1700" w:type="dxa"/>
          </w:tcPr>
          <w:p>
            <w:pPr>
              <w:pStyle w:val="0"/>
              <w:jc w:val="center"/>
            </w:pPr>
            <w:r>
              <w:rPr>
                <w:sz w:val="20"/>
              </w:rPr>
              <w:t xml:space="preserve">525440,8</w:t>
            </w:r>
          </w:p>
        </w:tc>
      </w:tr>
      <w:tr>
        <w:tc>
          <w:tcPr>
            <w:tcW w:w="850" w:type="dxa"/>
          </w:tcPr>
          <w:p>
            <w:pPr>
              <w:pStyle w:val="0"/>
              <w:jc w:val="center"/>
            </w:pPr>
            <w:r>
              <w:rPr>
                <w:sz w:val="20"/>
              </w:rPr>
              <w:t xml:space="preserve">555</w:t>
            </w:r>
          </w:p>
        </w:tc>
        <w:tc>
          <w:tcPr>
            <w:tcW w:w="3118" w:type="dxa"/>
          </w:tcPr>
          <w:p>
            <w:pPr>
              <w:pStyle w:val="0"/>
            </w:pPr>
            <w:r>
              <w:rPr>
                <w:sz w:val="20"/>
              </w:rPr>
              <w:t xml:space="preserve">Департамент здравоохранения Владимирской области</w:t>
            </w:r>
          </w:p>
        </w:tc>
        <w:tc>
          <w:tcPr>
            <w:tcW w:w="1699" w:type="dxa"/>
          </w:tcPr>
          <w:p>
            <w:pPr>
              <w:pStyle w:val="0"/>
              <w:jc w:val="center"/>
            </w:pPr>
            <w:r>
              <w:rPr>
                <w:sz w:val="20"/>
              </w:rPr>
              <w:t xml:space="preserve">11122567,6</w:t>
            </w:r>
          </w:p>
        </w:tc>
        <w:tc>
          <w:tcPr>
            <w:tcW w:w="1699" w:type="dxa"/>
          </w:tcPr>
          <w:p>
            <w:pPr>
              <w:pStyle w:val="0"/>
              <w:jc w:val="center"/>
            </w:pPr>
            <w:r>
              <w:rPr>
                <w:sz w:val="20"/>
              </w:rPr>
              <w:t xml:space="preserve">11463660,9</w:t>
            </w:r>
          </w:p>
        </w:tc>
        <w:tc>
          <w:tcPr>
            <w:tcW w:w="1700" w:type="dxa"/>
          </w:tcPr>
          <w:p>
            <w:pPr>
              <w:pStyle w:val="0"/>
              <w:jc w:val="center"/>
            </w:pPr>
            <w:r>
              <w:rPr>
                <w:sz w:val="20"/>
              </w:rPr>
              <w:t xml:space="preserve">11463660,9</w:t>
            </w:r>
          </w:p>
        </w:tc>
      </w:tr>
      <w:tr>
        <w:tc>
          <w:tcPr>
            <w:tcW w:w="850" w:type="dxa"/>
          </w:tcPr>
          <w:p>
            <w:pPr>
              <w:pStyle w:val="0"/>
              <w:jc w:val="center"/>
            </w:pPr>
            <w:r>
              <w:rPr>
                <w:sz w:val="20"/>
              </w:rPr>
              <w:t xml:space="preserve">558</w:t>
            </w:r>
          </w:p>
        </w:tc>
        <w:tc>
          <w:tcPr>
            <w:tcW w:w="3118" w:type="dxa"/>
          </w:tcPr>
          <w:p>
            <w:pPr>
              <w:pStyle w:val="0"/>
            </w:pPr>
            <w:r>
              <w:rPr>
                <w:sz w:val="20"/>
              </w:rPr>
              <w:t xml:space="preserve">Департамент культуры Владимирской области</w:t>
            </w:r>
          </w:p>
        </w:tc>
        <w:tc>
          <w:tcPr>
            <w:tcW w:w="1699" w:type="dxa"/>
          </w:tcPr>
          <w:p>
            <w:pPr>
              <w:pStyle w:val="0"/>
              <w:jc w:val="center"/>
            </w:pPr>
            <w:r>
              <w:rPr>
                <w:sz w:val="20"/>
              </w:rPr>
              <w:t xml:space="preserve">1793107,3</w:t>
            </w:r>
          </w:p>
        </w:tc>
        <w:tc>
          <w:tcPr>
            <w:tcW w:w="1699" w:type="dxa"/>
          </w:tcPr>
          <w:p>
            <w:pPr>
              <w:pStyle w:val="0"/>
              <w:jc w:val="center"/>
            </w:pPr>
            <w:r>
              <w:rPr>
                <w:sz w:val="20"/>
              </w:rPr>
              <w:t xml:space="preserve">1782512,9</w:t>
            </w:r>
          </w:p>
        </w:tc>
        <w:tc>
          <w:tcPr>
            <w:tcW w:w="1700" w:type="dxa"/>
          </w:tcPr>
          <w:p>
            <w:pPr>
              <w:pStyle w:val="0"/>
              <w:jc w:val="center"/>
            </w:pPr>
            <w:r>
              <w:rPr>
                <w:sz w:val="20"/>
              </w:rPr>
              <w:t xml:space="preserve">1782537,9</w:t>
            </w:r>
          </w:p>
        </w:tc>
      </w:tr>
      <w:tr>
        <w:tc>
          <w:tcPr>
            <w:tcW w:w="850" w:type="dxa"/>
          </w:tcPr>
          <w:p>
            <w:pPr>
              <w:pStyle w:val="0"/>
              <w:jc w:val="center"/>
            </w:pPr>
            <w:r>
              <w:rPr>
                <w:sz w:val="20"/>
              </w:rPr>
              <w:t xml:space="preserve">559</w:t>
            </w:r>
          </w:p>
        </w:tc>
        <w:tc>
          <w:tcPr>
            <w:tcW w:w="3118" w:type="dxa"/>
          </w:tcPr>
          <w:p>
            <w:pPr>
              <w:pStyle w:val="0"/>
            </w:pPr>
            <w:r>
              <w:rPr>
                <w:sz w:val="20"/>
              </w:rPr>
              <w:t xml:space="preserve">Государственная инспекция по охране объектов культурного наследия администрации Владимирской области</w:t>
            </w:r>
          </w:p>
        </w:tc>
        <w:tc>
          <w:tcPr>
            <w:tcW w:w="1699" w:type="dxa"/>
          </w:tcPr>
          <w:p>
            <w:pPr>
              <w:pStyle w:val="0"/>
              <w:jc w:val="center"/>
            </w:pPr>
            <w:r>
              <w:rPr>
                <w:sz w:val="20"/>
              </w:rPr>
              <w:t xml:space="preserve">20566,3</w:t>
            </w:r>
          </w:p>
        </w:tc>
        <w:tc>
          <w:tcPr>
            <w:tcW w:w="1699" w:type="dxa"/>
          </w:tcPr>
          <w:p>
            <w:pPr>
              <w:pStyle w:val="0"/>
              <w:jc w:val="center"/>
            </w:pPr>
            <w:r>
              <w:rPr>
                <w:sz w:val="20"/>
              </w:rPr>
              <w:t xml:space="preserve">20798,1</w:t>
            </w:r>
          </w:p>
        </w:tc>
        <w:tc>
          <w:tcPr>
            <w:tcW w:w="1700" w:type="dxa"/>
          </w:tcPr>
          <w:p>
            <w:pPr>
              <w:pStyle w:val="0"/>
              <w:jc w:val="center"/>
            </w:pPr>
            <w:r>
              <w:rPr>
                <w:sz w:val="20"/>
              </w:rPr>
              <w:t xml:space="preserve">20798,1</w:t>
            </w:r>
          </w:p>
        </w:tc>
      </w:tr>
      <w:tr>
        <w:tc>
          <w:tcPr>
            <w:tcW w:w="850" w:type="dxa"/>
          </w:tcPr>
          <w:p>
            <w:pPr>
              <w:pStyle w:val="0"/>
              <w:jc w:val="center"/>
            </w:pPr>
            <w:r>
              <w:rPr>
                <w:sz w:val="20"/>
              </w:rPr>
              <w:t xml:space="preserve">561</w:t>
            </w:r>
          </w:p>
        </w:tc>
        <w:tc>
          <w:tcPr>
            <w:tcW w:w="3118" w:type="dxa"/>
          </w:tcPr>
          <w:p>
            <w:pPr>
              <w:pStyle w:val="0"/>
            </w:pPr>
            <w:r>
              <w:rPr>
                <w:sz w:val="20"/>
              </w:rPr>
              <w:t xml:space="preserve">Департамент социальной защиты населения Владимирской области</w:t>
            </w:r>
          </w:p>
        </w:tc>
        <w:tc>
          <w:tcPr>
            <w:tcW w:w="1699" w:type="dxa"/>
          </w:tcPr>
          <w:p>
            <w:pPr>
              <w:pStyle w:val="0"/>
              <w:jc w:val="center"/>
            </w:pPr>
            <w:r>
              <w:rPr>
                <w:sz w:val="20"/>
              </w:rPr>
              <w:t xml:space="preserve">12686633,9</w:t>
            </w:r>
          </w:p>
        </w:tc>
        <w:tc>
          <w:tcPr>
            <w:tcW w:w="1699" w:type="dxa"/>
          </w:tcPr>
          <w:p>
            <w:pPr>
              <w:pStyle w:val="0"/>
              <w:jc w:val="center"/>
            </w:pPr>
            <w:r>
              <w:rPr>
                <w:sz w:val="20"/>
              </w:rPr>
              <w:t xml:space="preserve">12642483,0</w:t>
            </w:r>
          </w:p>
        </w:tc>
        <w:tc>
          <w:tcPr>
            <w:tcW w:w="1700" w:type="dxa"/>
          </w:tcPr>
          <w:p>
            <w:pPr>
              <w:pStyle w:val="0"/>
              <w:jc w:val="center"/>
            </w:pPr>
            <w:r>
              <w:rPr>
                <w:sz w:val="20"/>
              </w:rPr>
              <w:t xml:space="preserve">12642483,0</w:t>
            </w:r>
          </w:p>
        </w:tc>
      </w:tr>
      <w:tr>
        <w:tc>
          <w:tcPr>
            <w:tcW w:w="850" w:type="dxa"/>
          </w:tcPr>
          <w:p>
            <w:pPr>
              <w:pStyle w:val="0"/>
              <w:jc w:val="center"/>
            </w:pPr>
            <w:r>
              <w:rPr>
                <w:sz w:val="20"/>
              </w:rPr>
              <w:t xml:space="preserve">566</w:t>
            </w:r>
          </w:p>
        </w:tc>
        <w:tc>
          <w:tcPr>
            <w:tcW w:w="3118" w:type="dxa"/>
          </w:tcPr>
          <w:p>
            <w:pPr>
              <w:pStyle w:val="0"/>
            </w:pPr>
            <w:r>
              <w:rPr>
                <w:sz w:val="20"/>
              </w:rPr>
              <w:t xml:space="preserve">Департамент имущественных и земельных отношений Владимирской области</w:t>
            </w:r>
          </w:p>
        </w:tc>
        <w:tc>
          <w:tcPr>
            <w:tcW w:w="1699" w:type="dxa"/>
          </w:tcPr>
          <w:p>
            <w:pPr>
              <w:pStyle w:val="0"/>
              <w:jc w:val="center"/>
            </w:pPr>
            <w:r>
              <w:rPr>
                <w:sz w:val="20"/>
              </w:rPr>
              <w:t xml:space="preserve">307926,5</w:t>
            </w:r>
          </w:p>
        </w:tc>
        <w:tc>
          <w:tcPr>
            <w:tcW w:w="1699" w:type="dxa"/>
          </w:tcPr>
          <w:p>
            <w:pPr>
              <w:pStyle w:val="0"/>
              <w:jc w:val="center"/>
            </w:pPr>
            <w:r>
              <w:rPr>
                <w:sz w:val="20"/>
              </w:rPr>
              <w:t xml:space="preserve">307926,5</w:t>
            </w:r>
          </w:p>
        </w:tc>
        <w:tc>
          <w:tcPr>
            <w:tcW w:w="1700" w:type="dxa"/>
          </w:tcPr>
          <w:p>
            <w:pPr>
              <w:pStyle w:val="0"/>
              <w:jc w:val="center"/>
            </w:pPr>
            <w:r>
              <w:rPr>
                <w:sz w:val="20"/>
              </w:rPr>
              <w:t xml:space="preserve">307926,5</w:t>
            </w:r>
          </w:p>
        </w:tc>
      </w:tr>
      <w:tr>
        <w:tc>
          <w:tcPr>
            <w:tcW w:w="850" w:type="dxa"/>
          </w:tcPr>
          <w:p>
            <w:pPr>
              <w:pStyle w:val="0"/>
              <w:jc w:val="center"/>
            </w:pPr>
            <w:r>
              <w:rPr>
                <w:sz w:val="20"/>
              </w:rPr>
              <w:t xml:space="preserve">567</w:t>
            </w:r>
          </w:p>
        </w:tc>
        <w:tc>
          <w:tcPr>
            <w:tcW w:w="3118" w:type="dxa"/>
          </w:tcPr>
          <w:p>
            <w:pPr>
              <w:pStyle w:val="0"/>
            </w:pPr>
            <w:r>
              <w:rPr>
                <w:sz w:val="20"/>
              </w:rPr>
              <w:t xml:space="preserve">Департамент физической культуры и спорта Владимирской области</w:t>
            </w:r>
          </w:p>
        </w:tc>
        <w:tc>
          <w:tcPr>
            <w:tcW w:w="1699" w:type="dxa"/>
          </w:tcPr>
          <w:p>
            <w:pPr>
              <w:pStyle w:val="0"/>
              <w:jc w:val="center"/>
            </w:pPr>
            <w:r>
              <w:rPr>
                <w:sz w:val="20"/>
              </w:rPr>
              <w:t xml:space="preserve">659444,8</w:t>
            </w:r>
          </w:p>
        </w:tc>
        <w:tc>
          <w:tcPr>
            <w:tcW w:w="1699" w:type="dxa"/>
          </w:tcPr>
          <w:p>
            <w:pPr>
              <w:pStyle w:val="0"/>
              <w:jc w:val="center"/>
            </w:pPr>
            <w:r>
              <w:rPr>
                <w:sz w:val="20"/>
              </w:rPr>
              <w:t xml:space="preserve">909651,1</w:t>
            </w:r>
          </w:p>
        </w:tc>
        <w:tc>
          <w:tcPr>
            <w:tcW w:w="1700" w:type="dxa"/>
          </w:tcPr>
          <w:p>
            <w:pPr>
              <w:pStyle w:val="0"/>
              <w:jc w:val="center"/>
            </w:pPr>
            <w:r>
              <w:rPr>
                <w:sz w:val="20"/>
              </w:rPr>
              <w:t xml:space="preserve">674910,4</w:t>
            </w:r>
          </w:p>
        </w:tc>
      </w:tr>
      <w:tr>
        <w:tc>
          <w:tcPr>
            <w:tcW w:w="850" w:type="dxa"/>
          </w:tcPr>
          <w:p>
            <w:pPr>
              <w:pStyle w:val="0"/>
              <w:jc w:val="center"/>
            </w:pPr>
            <w:r>
              <w:rPr>
                <w:sz w:val="20"/>
              </w:rPr>
              <w:t xml:space="preserve">571</w:t>
            </w:r>
          </w:p>
        </w:tc>
        <w:tc>
          <w:tcPr>
            <w:tcW w:w="3118" w:type="dxa"/>
          </w:tcPr>
          <w:p>
            <w:pPr>
              <w:pStyle w:val="0"/>
            </w:pPr>
            <w:r>
              <w:rPr>
                <w:sz w:val="20"/>
              </w:rPr>
              <w:t xml:space="preserve">Департамент цифрового развития Владимирской области</w:t>
            </w:r>
          </w:p>
        </w:tc>
        <w:tc>
          <w:tcPr>
            <w:tcW w:w="1699" w:type="dxa"/>
          </w:tcPr>
          <w:p>
            <w:pPr>
              <w:pStyle w:val="0"/>
              <w:jc w:val="center"/>
            </w:pPr>
            <w:r>
              <w:rPr>
                <w:sz w:val="20"/>
              </w:rPr>
              <w:t xml:space="preserve">70345,9</w:t>
            </w:r>
          </w:p>
        </w:tc>
        <w:tc>
          <w:tcPr>
            <w:tcW w:w="1699" w:type="dxa"/>
          </w:tcPr>
          <w:p>
            <w:pPr>
              <w:pStyle w:val="0"/>
              <w:jc w:val="center"/>
            </w:pPr>
            <w:r>
              <w:rPr>
                <w:sz w:val="20"/>
              </w:rPr>
              <w:t xml:space="preserve">70345,9</w:t>
            </w:r>
          </w:p>
        </w:tc>
        <w:tc>
          <w:tcPr>
            <w:tcW w:w="1700" w:type="dxa"/>
          </w:tcPr>
          <w:p>
            <w:pPr>
              <w:pStyle w:val="0"/>
              <w:jc w:val="center"/>
            </w:pPr>
            <w:r>
              <w:rPr>
                <w:sz w:val="20"/>
              </w:rPr>
              <w:t xml:space="preserve">69865,9</w:t>
            </w:r>
          </w:p>
        </w:tc>
      </w:tr>
      <w:tr>
        <w:tc>
          <w:tcPr>
            <w:tcW w:w="850" w:type="dxa"/>
          </w:tcPr>
          <w:p>
            <w:pPr>
              <w:pStyle w:val="0"/>
              <w:jc w:val="center"/>
            </w:pPr>
            <w:r>
              <w:rPr>
                <w:sz w:val="20"/>
              </w:rPr>
              <w:t xml:space="preserve">574</w:t>
            </w:r>
          </w:p>
        </w:tc>
        <w:tc>
          <w:tcPr>
            <w:tcW w:w="3118" w:type="dxa"/>
          </w:tcPr>
          <w:p>
            <w:pPr>
              <w:pStyle w:val="0"/>
            </w:pPr>
            <w:r>
              <w:rPr>
                <w:sz w:val="20"/>
              </w:rPr>
              <w:t xml:space="preserve">Департамент образования Владимирской области</w:t>
            </w:r>
          </w:p>
        </w:tc>
        <w:tc>
          <w:tcPr>
            <w:tcW w:w="1699" w:type="dxa"/>
          </w:tcPr>
          <w:p>
            <w:pPr>
              <w:pStyle w:val="0"/>
              <w:jc w:val="center"/>
            </w:pPr>
            <w:r>
              <w:rPr>
                <w:sz w:val="20"/>
              </w:rPr>
              <w:t xml:space="preserve">17455693,2</w:t>
            </w:r>
          </w:p>
        </w:tc>
        <w:tc>
          <w:tcPr>
            <w:tcW w:w="1699" w:type="dxa"/>
          </w:tcPr>
          <w:p>
            <w:pPr>
              <w:pStyle w:val="0"/>
              <w:jc w:val="center"/>
            </w:pPr>
            <w:r>
              <w:rPr>
                <w:sz w:val="20"/>
              </w:rPr>
              <w:t xml:space="preserve">16870876,6</w:t>
            </w:r>
          </w:p>
        </w:tc>
        <w:tc>
          <w:tcPr>
            <w:tcW w:w="1700" w:type="dxa"/>
          </w:tcPr>
          <w:p>
            <w:pPr>
              <w:pStyle w:val="0"/>
              <w:jc w:val="center"/>
            </w:pPr>
            <w:r>
              <w:rPr>
                <w:sz w:val="20"/>
              </w:rPr>
              <w:t xml:space="preserve">16463737,1</w:t>
            </w:r>
          </w:p>
        </w:tc>
      </w:tr>
      <w:tr>
        <w:tc>
          <w:tcPr>
            <w:tcW w:w="850" w:type="dxa"/>
          </w:tcPr>
          <w:p>
            <w:pPr>
              <w:pStyle w:val="0"/>
              <w:jc w:val="center"/>
            </w:pPr>
            <w:r>
              <w:rPr>
                <w:sz w:val="20"/>
              </w:rPr>
              <w:t xml:space="preserve">581</w:t>
            </w:r>
          </w:p>
        </w:tc>
        <w:tc>
          <w:tcPr>
            <w:tcW w:w="3118" w:type="dxa"/>
          </w:tcPr>
          <w:p>
            <w:pPr>
              <w:pStyle w:val="0"/>
            </w:pPr>
            <w:r>
              <w:rPr>
                <w:sz w:val="20"/>
              </w:rPr>
              <w:t xml:space="preserve">Государственная инспекция по охране и использованию животного мира администрации Владимирской области</w:t>
            </w:r>
          </w:p>
        </w:tc>
        <w:tc>
          <w:tcPr>
            <w:tcW w:w="1699" w:type="dxa"/>
          </w:tcPr>
          <w:p>
            <w:pPr>
              <w:pStyle w:val="0"/>
              <w:jc w:val="center"/>
            </w:pPr>
            <w:r>
              <w:rPr>
                <w:sz w:val="20"/>
              </w:rPr>
              <w:t xml:space="preserve">45002,5</w:t>
            </w:r>
          </w:p>
        </w:tc>
        <w:tc>
          <w:tcPr>
            <w:tcW w:w="1699" w:type="dxa"/>
          </w:tcPr>
          <w:p>
            <w:pPr>
              <w:pStyle w:val="0"/>
              <w:jc w:val="center"/>
            </w:pPr>
            <w:r>
              <w:rPr>
                <w:sz w:val="20"/>
              </w:rPr>
              <w:t xml:space="preserve">46657,6</w:t>
            </w:r>
          </w:p>
        </w:tc>
        <w:tc>
          <w:tcPr>
            <w:tcW w:w="1700" w:type="dxa"/>
          </w:tcPr>
          <w:p>
            <w:pPr>
              <w:pStyle w:val="0"/>
              <w:jc w:val="center"/>
            </w:pPr>
            <w:r>
              <w:rPr>
                <w:sz w:val="20"/>
              </w:rPr>
              <w:t xml:space="preserve">46657,6</w:t>
            </w:r>
          </w:p>
        </w:tc>
      </w:tr>
      <w:tr>
        <w:tc>
          <w:tcPr>
            <w:tcW w:w="850" w:type="dxa"/>
          </w:tcPr>
          <w:p>
            <w:pPr>
              <w:pStyle w:val="0"/>
              <w:jc w:val="center"/>
            </w:pPr>
            <w:r>
              <w:rPr>
                <w:sz w:val="20"/>
              </w:rPr>
              <w:t xml:space="preserve">582</w:t>
            </w:r>
          </w:p>
        </w:tc>
        <w:tc>
          <w:tcPr>
            <w:tcW w:w="3118" w:type="dxa"/>
          </w:tcPr>
          <w:p>
            <w:pPr>
              <w:pStyle w:val="0"/>
            </w:pPr>
            <w:r>
              <w:rPr>
                <w:sz w:val="20"/>
              </w:rPr>
              <w:t xml:space="preserve">Департамент сельского хозяйства Владимирской области</w:t>
            </w:r>
          </w:p>
        </w:tc>
        <w:tc>
          <w:tcPr>
            <w:tcW w:w="1699" w:type="dxa"/>
          </w:tcPr>
          <w:p>
            <w:pPr>
              <w:pStyle w:val="0"/>
              <w:jc w:val="center"/>
            </w:pPr>
            <w:r>
              <w:rPr>
                <w:sz w:val="20"/>
              </w:rPr>
              <w:t xml:space="preserve">1581918,5</w:t>
            </w:r>
          </w:p>
        </w:tc>
        <w:tc>
          <w:tcPr>
            <w:tcW w:w="1699" w:type="dxa"/>
          </w:tcPr>
          <w:p>
            <w:pPr>
              <w:pStyle w:val="0"/>
              <w:jc w:val="center"/>
            </w:pPr>
            <w:r>
              <w:rPr>
                <w:sz w:val="20"/>
              </w:rPr>
              <w:t xml:space="preserve">1529728,6</w:t>
            </w:r>
          </w:p>
        </w:tc>
        <w:tc>
          <w:tcPr>
            <w:tcW w:w="1700" w:type="dxa"/>
          </w:tcPr>
          <w:p>
            <w:pPr>
              <w:pStyle w:val="0"/>
              <w:jc w:val="center"/>
            </w:pPr>
            <w:r>
              <w:rPr>
                <w:sz w:val="20"/>
              </w:rPr>
              <w:t xml:space="preserve">1572438,0</w:t>
            </w:r>
          </w:p>
        </w:tc>
      </w:tr>
      <w:tr>
        <w:tc>
          <w:tcPr>
            <w:tcW w:w="850" w:type="dxa"/>
          </w:tcPr>
          <w:p>
            <w:pPr>
              <w:pStyle w:val="0"/>
              <w:jc w:val="center"/>
            </w:pPr>
            <w:r>
              <w:rPr>
                <w:sz w:val="20"/>
              </w:rPr>
              <w:t xml:space="preserve">583</w:t>
            </w:r>
          </w:p>
        </w:tc>
        <w:tc>
          <w:tcPr>
            <w:tcW w:w="3118" w:type="dxa"/>
          </w:tcPr>
          <w:p>
            <w:pPr>
              <w:pStyle w:val="0"/>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c>
          <w:tcPr>
            <w:tcW w:w="1699" w:type="dxa"/>
          </w:tcPr>
          <w:p>
            <w:pPr>
              <w:pStyle w:val="0"/>
              <w:jc w:val="center"/>
            </w:pPr>
            <w:r>
              <w:rPr>
                <w:sz w:val="20"/>
              </w:rPr>
              <w:t xml:space="preserve">26427,8</w:t>
            </w:r>
          </w:p>
        </w:tc>
        <w:tc>
          <w:tcPr>
            <w:tcW w:w="1699" w:type="dxa"/>
          </w:tcPr>
          <w:p>
            <w:pPr>
              <w:pStyle w:val="0"/>
              <w:jc w:val="center"/>
            </w:pPr>
            <w:r>
              <w:rPr>
                <w:sz w:val="20"/>
              </w:rPr>
              <w:t xml:space="preserve">26427,8</w:t>
            </w:r>
          </w:p>
        </w:tc>
        <w:tc>
          <w:tcPr>
            <w:tcW w:w="1700" w:type="dxa"/>
          </w:tcPr>
          <w:p>
            <w:pPr>
              <w:pStyle w:val="0"/>
              <w:jc w:val="center"/>
            </w:pPr>
            <w:r>
              <w:rPr>
                <w:sz w:val="20"/>
              </w:rPr>
              <w:t xml:space="preserve">26427,8</w:t>
            </w:r>
          </w:p>
        </w:tc>
      </w:tr>
      <w:tr>
        <w:tc>
          <w:tcPr>
            <w:tcW w:w="850" w:type="dxa"/>
          </w:tcPr>
          <w:p>
            <w:pPr>
              <w:pStyle w:val="0"/>
              <w:jc w:val="center"/>
            </w:pPr>
            <w:r>
              <w:rPr>
                <w:sz w:val="20"/>
              </w:rPr>
              <w:t xml:space="preserve">584</w:t>
            </w:r>
          </w:p>
        </w:tc>
        <w:tc>
          <w:tcPr>
            <w:tcW w:w="3118" w:type="dxa"/>
          </w:tcPr>
          <w:p>
            <w:pPr>
              <w:pStyle w:val="0"/>
            </w:pPr>
            <w:r>
              <w:rPr>
                <w:sz w:val="20"/>
              </w:rPr>
              <w:t xml:space="preserve">Департамент ветеринарии Владимирской области</w:t>
            </w:r>
          </w:p>
        </w:tc>
        <w:tc>
          <w:tcPr>
            <w:tcW w:w="1699" w:type="dxa"/>
          </w:tcPr>
          <w:p>
            <w:pPr>
              <w:pStyle w:val="0"/>
              <w:jc w:val="center"/>
            </w:pPr>
            <w:r>
              <w:rPr>
                <w:sz w:val="20"/>
              </w:rPr>
              <w:t xml:space="preserve">196140,2</w:t>
            </w:r>
          </w:p>
        </w:tc>
        <w:tc>
          <w:tcPr>
            <w:tcW w:w="1699" w:type="dxa"/>
          </w:tcPr>
          <w:p>
            <w:pPr>
              <w:pStyle w:val="0"/>
              <w:jc w:val="center"/>
            </w:pPr>
            <w:r>
              <w:rPr>
                <w:sz w:val="20"/>
              </w:rPr>
              <w:t xml:space="preserve">224549,3</w:t>
            </w:r>
          </w:p>
        </w:tc>
        <w:tc>
          <w:tcPr>
            <w:tcW w:w="1700" w:type="dxa"/>
          </w:tcPr>
          <w:p>
            <w:pPr>
              <w:pStyle w:val="0"/>
              <w:jc w:val="center"/>
            </w:pPr>
            <w:r>
              <w:rPr>
                <w:sz w:val="20"/>
              </w:rPr>
              <w:t xml:space="preserve">199039,0</w:t>
            </w:r>
          </w:p>
        </w:tc>
      </w:tr>
      <w:tr>
        <w:tc>
          <w:tcPr>
            <w:tcW w:w="850" w:type="dxa"/>
          </w:tcPr>
          <w:p>
            <w:pPr>
              <w:pStyle w:val="0"/>
              <w:jc w:val="center"/>
            </w:pPr>
            <w:r>
              <w:rPr>
                <w:sz w:val="20"/>
              </w:rPr>
              <w:t xml:space="preserve">588</w:t>
            </w:r>
          </w:p>
        </w:tc>
        <w:tc>
          <w:tcPr>
            <w:tcW w:w="3118" w:type="dxa"/>
          </w:tcPr>
          <w:p>
            <w:pPr>
              <w:pStyle w:val="0"/>
            </w:pPr>
            <w:r>
              <w:rPr>
                <w:sz w:val="20"/>
              </w:rPr>
              <w:t xml:space="preserve">Департамент безопасности Владимирской области</w:t>
            </w:r>
          </w:p>
        </w:tc>
        <w:tc>
          <w:tcPr>
            <w:tcW w:w="1699" w:type="dxa"/>
          </w:tcPr>
          <w:p>
            <w:pPr>
              <w:pStyle w:val="0"/>
              <w:jc w:val="center"/>
            </w:pPr>
            <w:r>
              <w:rPr>
                <w:sz w:val="20"/>
              </w:rPr>
              <w:t xml:space="preserve">263552,4</w:t>
            </w:r>
          </w:p>
        </w:tc>
        <w:tc>
          <w:tcPr>
            <w:tcW w:w="1699" w:type="dxa"/>
          </w:tcPr>
          <w:p>
            <w:pPr>
              <w:pStyle w:val="0"/>
              <w:jc w:val="center"/>
            </w:pPr>
            <w:r>
              <w:rPr>
                <w:sz w:val="20"/>
              </w:rPr>
              <w:t xml:space="preserve">263552,4</w:t>
            </w:r>
          </w:p>
        </w:tc>
        <w:tc>
          <w:tcPr>
            <w:tcW w:w="1700" w:type="dxa"/>
          </w:tcPr>
          <w:p>
            <w:pPr>
              <w:pStyle w:val="0"/>
              <w:jc w:val="center"/>
            </w:pPr>
            <w:r>
              <w:rPr>
                <w:sz w:val="20"/>
              </w:rPr>
              <w:t xml:space="preserve">263552,4</w:t>
            </w:r>
          </w:p>
        </w:tc>
      </w:tr>
      <w:tr>
        <w:tc>
          <w:tcPr>
            <w:tcW w:w="850" w:type="dxa"/>
          </w:tcPr>
          <w:p>
            <w:pPr>
              <w:pStyle w:val="0"/>
              <w:jc w:val="center"/>
            </w:pPr>
            <w:r>
              <w:rPr>
                <w:sz w:val="20"/>
              </w:rPr>
              <w:t xml:space="preserve">592</w:t>
            </w:r>
          </w:p>
        </w:tc>
        <w:tc>
          <w:tcPr>
            <w:tcW w:w="3118" w:type="dxa"/>
          </w:tcPr>
          <w:p>
            <w:pPr>
              <w:pStyle w:val="0"/>
            </w:pPr>
            <w:r>
              <w:rPr>
                <w:sz w:val="20"/>
              </w:rPr>
              <w:t xml:space="preserve">Департамент финансов, бюджетной и налоговой политики администрации Владимирской области</w:t>
            </w:r>
          </w:p>
        </w:tc>
        <w:tc>
          <w:tcPr>
            <w:tcW w:w="1699" w:type="dxa"/>
          </w:tcPr>
          <w:p>
            <w:pPr>
              <w:pStyle w:val="0"/>
              <w:jc w:val="center"/>
            </w:pPr>
            <w:r>
              <w:rPr>
                <w:sz w:val="20"/>
              </w:rPr>
              <w:t xml:space="preserve">4046115,6</w:t>
            </w:r>
          </w:p>
        </w:tc>
        <w:tc>
          <w:tcPr>
            <w:tcW w:w="1699" w:type="dxa"/>
          </w:tcPr>
          <w:p>
            <w:pPr>
              <w:pStyle w:val="0"/>
              <w:jc w:val="center"/>
            </w:pPr>
            <w:r>
              <w:rPr>
                <w:sz w:val="20"/>
              </w:rPr>
              <w:t xml:space="preserve">3723959,5</w:t>
            </w:r>
          </w:p>
        </w:tc>
        <w:tc>
          <w:tcPr>
            <w:tcW w:w="1700" w:type="dxa"/>
          </w:tcPr>
          <w:p>
            <w:pPr>
              <w:pStyle w:val="0"/>
              <w:jc w:val="center"/>
            </w:pPr>
            <w:r>
              <w:rPr>
                <w:sz w:val="20"/>
              </w:rPr>
              <w:t xml:space="preserve">3724722,5</w:t>
            </w:r>
          </w:p>
        </w:tc>
      </w:tr>
      <w:tr>
        <w:tc>
          <w:tcPr>
            <w:tcW w:w="850" w:type="dxa"/>
          </w:tcPr>
          <w:p>
            <w:pPr>
              <w:pStyle w:val="0"/>
              <w:jc w:val="center"/>
            </w:pPr>
            <w:r>
              <w:rPr>
                <w:sz w:val="20"/>
              </w:rPr>
              <w:t xml:space="preserve">593</w:t>
            </w:r>
          </w:p>
        </w:tc>
        <w:tc>
          <w:tcPr>
            <w:tcW w:w="3118" w:type="dxa"/>
          </w:tcPr>
          <w:p>
            <w:pPr>
              <w:pStyle w:val="0"/>
            </w:pPr>
            <w:r>
              <w:rPr>
                <w:sz w:val="20"/>
              </w:rPr>
              <w:t xml:space="preserve">Контрольно-ревизионная инспекция Владимирской области</w:t>
            </w:r>
          </w:p>
        </w:tc>
        <w:tc>
          <w:tcPr>
            <w:tcW w:w="1699" w:type="dxa"/>
          </w:tcPr>
          <w:p>
            <w:pPr>
              <w:pStyle w:val="0"/>
              <w:jc w:val="center"/>
            </w:pPr>
            <w:r>
              <w:rPr>
                <w:sz w:val="20"/>
              </w:rPr>
              <w:t xml:space="preserve">16736,4</w:t>
            </w:r>
          </w:p>
        </w:tc>
        <w:tc>
          <w:tcPr>
            <w:tcW w:w="1699" w:type="dxa"/>
          </w:tcPr>
          <w:p>
            <w:pPr>
              <w:pStyle w:val="0"/>
              <w:jc w:val="center"/>
            </w:pPr>
            <w:r>
              <w:rPr>
                <w:sz w:val="20"/>
              </w:rPr>
              <w:t xml:space="preserve">16736,4</w:t>
            </w:r>
          </w:p>
        </w:tc>
        <w:tc>
          <w:tcPr>
            <w:tcW w:w="1700" w:type="dxa"/>
          </w:tcPr>
          <w:p>
            <w:pPr>
              <w:pStyle w:val="0"/>
              <w:jc w:val="center"/>
            </w:pPr>
            <w:r>
              <w:rPr>
                <w:sz w:val="20"/>
              </w:rPr>
              <w:t xml:space="preserve">16736,4</w:t>
            </w:r>
          </w:p>
        </w:tc>
      </w:tr>
      <w:tr>
        <w:tc>
          <w:tcPr>
            <w:tcW w:w="850" w:type="dxa"/>
          </w:tcPr>
          <w:p>
            <w:pPr>
              <w:pStyle w:val="0"/>
              <w:jc w:val="center"/>
            </w:pPr>
            <w:r>
              <w:rPr>
                <w:sz w:val="20"/>
              </w:rPr>
              <w:t xml:space="preserve">595</w:t>
            </w:r>
          </w:p>
        </w:tc>
        <w:tc>
          <w:tcPr>
            <w:tcW w:w="3118" w:type="dxa"/>
          </w:tcPr>
          <w:p>
            <w:pPr>
              <w:pStyle w:val="0"/>
            </w:pPr>
            <w:r>
              <w:rPr>
                <w:sz w:val="20"/>
              </w:rPr>
              <w:t xml:space="preserve">Уполномоченный по правам человека во Владимирской области и его аппарат</w:t>
            </w:r>
          </w:p>
        </w:tc>
        <w:tc>
          <w:tcPr>
            <w:tcW w:w="1699" w:type="dxa"/>
          </w:tcPr>
          <w:p>
            <w:pPr>
              <w:pStyle w:val="0"/>
              <w:jc w:val="center"/>
            </w:pPr>
            <w:r>
              <w:rPr>
                <w:sz w:val="20"/>
              </w:rPr>
              <w:t xml:space="preserve">9434,9</w:t>
            </w:r>
          </w:p>
        </w:tc>
        <w:tc>
          <w:tcPr>
            <w:tcW w:w="1699" w:type="dxa"/>
          </w:tcPr>
          <w:p>
            <w:pPr>
              <w:pStyle w:val="0"/>
              <w:jc w:val="center"/>
            </w:pPr>
            <w:r>
              <w:rPr>
                <w:sz w:val="20"/>
              </w:rPr>
              <w:t xml:space="preserve">9434,9</w:t>
            </w:r>
          </w:p>
        </w:tc>
        <w:tc>
          <w:tcPr>
            <w:tcW w:w="1700" w:type="dxa"/>
          </w:tcPr>
          <w:p>
            <w:pPr>
              <w:pStyle w:val="0"/>
              <w:jc w:val="center"/>
            </w:pPr>
            <w:r>
              <w:rPr>
                <w:sz w:val="20"/>
              </w:rPr>
              <w:t xml:space="preserve">9434,9</w:t>
            </w:r>
          </w:p>
        </w:tc>
      </w:tr>
      <w:tr>
        <w:tc>
          <w:tcPr>
            <w:tcW w:w="850" w:type="dxa"/>
          </w:tcPr>
          <w:p>
            <w:pPr>
              <w:pStyle w:val="0"/>
              <w:jc w:val="center"/>
            </w:pPr>
            <w:r>
              <w:rPr>
                <w:sz w:val="20"/>
              </w:rPr>
              <w:t xml:space="preserve">596</w:t>
            </w:r>
          </w:p>
        </w:tc>
        <w:tc>
          <w:tcPr>
            <w:tcW w:w="3118" w:type="dxa"/>
          </w:tcPr>
          <w:p>
            <w:pPr>
              <w:pStyle w:val="0"/>
            </w:pPr>
            <w:r>
              <w:rPr>
                <w:sz w:val="20"/>
              </w:rPr>
              <w:t xml:space="preserve">Уполномоченный по защите прав предпринимателей во Владимирской области и его аппарат</w:t>
            </w:r>
          </w:p>
        </w:tc>
        <w:tc>
          <w:tcPr>
            <w:tcW w:w="1699" w:type="dxa"/>
          </w:tcPr>
          <w:p>
            <w:pPr>
              <w:pStyle w:val="0"/>
              <w:jc w:val="center"/>
            </w:pPr>
            <w:r>
              <w:rPr>
                <w:sz w:val="20"/>
              </w:rPr>
              <w:t xml:space="preserve">3454,4</w:t>
            </w:r>
          </w:p>
        </w:tc>
        <w:tc>
          <w:tcPr>
            <w:tcW w:w="1699" w:type="dxa"/>
          </w:tcPr>
          <w:p>
            <w:pPr>
              <w:pStyle w:val="0"/>
              <w:jc w:val="center"/>
            </w:pPr>
            <w:r>
              <w:rPr>
                <w:sz w:val="20"/>
              </w:rPr>
              <w:t xml:space="preserve">3454,4</w:t>
            </w:r>
          </w:p>
        </w:tc>
        <w:tc>
          <w:tcPr>
            <w:tcW w:w="1700" w:type="dxa"/>
          </w:tcPr>
          <w:p>
            <w:pPr>
              <w:pStyle w:val="0"/>
              <w:jc w:val="center"/>
            </w:pPr>
            <w:r>
              <w:rPr>
                <w:sz w:val="20"/>
              </w:rPr>
              <w:t xml:space="preserve">3454,4</w:t>
            </w:r>
          </w:p>
        </w:tc>
      </w:tr>
      <w:tr>
        <w:tc>
          <w:tcPr>
            <w:tcW w:w="850" w:type="dxa"/>
          </w:tcPr>
          <w:p>
            <w:pPr>
              <w:pStyle w:val="0"/>
              <w:jc w:val="center"/>
            </w:pPr>
            <w:r>
              <w:rPr>
                <w:sz w:val="20"/>
              </w:rPr>
              <w:t xml:space="preserve">599</w:t>
            </w:r>
          </w:p>
        </w:tc>
        <w:tc>
          <w:tcPr>
            <w:tcW w:w="3118" w:type="dxa"/>
          </w:tcPr>
          <w:p>
            <w:pPr>
              <w:pStyle w:val="0"/>
            </w:pPr>
            <w:r>
              <w:rPr>
                <w:sz w:val="20"/>
              </w:rPr>
              <w:t xml:space="preserve">Государственная инспекция административно-технического надзора администрации Владимирской области</w:t>
            </w:r>
          </w:p>
        </w:tc>
        <w:tc>
          <w:tcPr>
            <w:tcW w:w="1699" w:type="dxa"/>
          </w:tcPr>
          <w:p>
            <w:pPr>
              <w:pStyle w:val="0"/>
              <w:jc w:val="center"/>
            </w:pPr>
            <w:r>
              <w:rPr>
                <w:sz w:val="20"/>
              </w:rPr>
              <w:t xml:space="preserve">44097,3</w:t>
            </w:r>
          </w:p>
        </w:tc>
        <w:tc>
          <w:tcPr>
            <w:tcW w:w="1699" w:type="dxa"/>
          </w:tcPr>
          <w:p>
            <w:pPr>
              <w:pStyle w:val="0"/>
              <w:jc w:val="center"/>
            </w:pPr>
            <w:r>
              <w:rPr>
                <w:sz w:val="20"/>
              </w:rPr>
              <w:t xml:space="preserve">44097,3</w:t>
            </w:r>
          </w:p>
        </w:tc>
        <w:tc>
          <w:tcPr>
            <w:tcW w:w="1700" w:type="dxa"/>
          </w:tcPr>
          <w:p>
            <w:pPr>
              <w:pStyle w:val="0"/>
              <w:jc w:val="center"/>
            </w:pPr>
            <w:r>
              <w:rPr>
                <w:sz w:val="20"/>
              </w:rPr>
              <w:t xml:space="preserve">44097,3</w:t>
            </w:r>
          </w:p>
        </w:tc>
      </w:tr>
      <w:tr>
        <w:tc>
          <w:tcPr>
            <w:tcW w:w="850" w:type="dxa"/>
          </w:tcPr>
          <w:p>
            <w:pPr>
              <w:pStyle w:val="0"/>
            </w:pPr>
            <w:r>
              <w:rPr>
                <w:sz w:val="20"/>
              </w:rPr>
            </w:r>
          </w:p>
        </w:tc>
        <w:tc>
          <w:tcPr>
            <w:tcW w:w="3118" w:type="dxa"/>
          </w:tcPr>
          <w:p>
            <w:pPr>
              <w:pStyle w:val="0"/>
            </w:pPr>
            <w:r>
              <w:rPr>
                <w:sz w:val="20"/>
              </w:rPr>
              <w:t xml:space="preserve">ИТОГО РАСХОДОВ</w:t>
            </w:r>
          </w:p>
        </w:tc>
        <w:tc>
          <w:tcPr>
            <w:tcW w:w="1699" w:type="dxa"/>
          </w:tcPr>
          <w:p>
            <w:pPr>
              <w:pStyle w:val="0"/>
              <w:jc w:val="center"/>
            </w:pPr>
            <w:r>
              <w:rPr>
                <w:sz w:val="20"/>
              </w:rPr>
              <w:t xml:space="preserve">64832738,3</w:t>
            </w:r>
          </w:p>
        </w:tc>
        <w:tc>
          <w:tcPr>
            <w:tcW w:w="1699" w:type="dxa"/>
          </w:tcPr>
          <w:p>
            <w:pPr>
              <w:pStyle w:val="0"/>
              <w:jc w:val="center"/>
            </w:pPr>
            <w:r>
              <w:rPr>
                <w:sz w:val="20"/>
              </w:rPr>
              <w:t xml:space="preserve">65004724,7</w:t>
            </w:r>
          </w:p>
        </w:tc>
        <w:tc>
          <w:tcPr>
            <w:tcW w:w="1700" w:type="dxa"/>
          </w:tcPr>
          <w:p>
            <w:pPr>
              <w:pStyle w:val="0"/>
              <w:jc w:val="center"/>
            </w:pPr>
            <w:r>
              <w:rPr>
                <w:sz w:val="20"/>
              </w:rPr>
              <w:t xml:space="preserve">64444034,2</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6</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07.07.2020 N 523-р</w:t>
      </w:r>
    </w:p>
    <w:p>
      <w:pPr>
        <w:pStyle w:val="0"/>
        <w:jc w:val="both"/>
      </w:pPr>
      <w:r>
        <w:rPr>
          <w:sz w:val="20"/>
        </w:rPr>
      </w:r>
    </w:p>
    <w:bookmarkStart w:id="1050" w:name="P1050"/>
    <w:bookmarkEnd w:id="1050"/>
    <w:p>
      <w:pPr>
        <w:pStyle w:val="2"/>
        <w:jc w:val="center"/>
      </w:pPr>
      <w:r>
        <w:rPr>
          <w:sz w:val="20"/>
        </w:rPr>
        <w:t xml:space="preserve">РАСПРЕДЕЛЕНИЕ</w:t>
      </w:r>
    </w:p>
    <w:p>
      <w:pPr>
        <w:pStyle w:val="2"/>
        <w:jc w:val="center"/>
      </w:pPr>
      <w:r>
        <w:rPr>
          <w:sz w:val="20"/>
        </w:rPr>
        <w:t xml:space="preserve">БЮДЖЕТНЫХ АССИГНОВАНИЙ НА ИСПОЛНЕНИЕ ДЕЙСТВУЮЩИХ</w:t>
      </w:r>
    </w:p>
    <w:p>
      <w:pPr>
        <w:pStyle w:val="2"/>
        <w:jc w:val="center"/>
      </w:pPr>
      <w:r>
        <w:rPr>
          <w:sz w:val="20"/>
        </w:rPr>
        <w:t xml:space="preserve">ОБЯЗАТЕЛЬСТВ ВЛАДИМИРСКОЙ ОБЛАСТИ ПО РАЗДЕЛАМ КЛАССИФИКАЦИИ</w:t>
      </w:r>
    </w:p>
    <w:p>
      <w:pPr>
        <w:pStyle w:val="2"/>
        <w:jc w:val="center"/>
      </w:pPr>
      <w:r>
        <w:rPr>
          <w:sz w:val="20"/>
        </w:rPr>
        <w:t xml:space="preserve">РАСХОДОВ ОБЛАСТНОГО БЮДЖЕТА НА 2021 ГОД И НА ПЛАНОВЫЙ ПЕРИОД</w:t>
      </w:r>
    </w:p>
    <w:p>
      <w:pPr>
        <w:pStyle w:val="2"/>
        <w:jc w:val="center"/>
      </w:pPr>
      <w:r>
        <w:rPr>
          <w:sz w:val="20"/>
        </w:rPr>
        <w:t xml:space="preserve">2022 И 2023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118"/>
        <w:gridCol w:w="1699"/>
        <w:gridCol w:w="1699"/>
        <w:gridCol w:w="1700"/>
      </w:tblGrid>
      <w:tr>
        <w:tc>
          <w:tcPr>
            <w:tcW w:w="850" w:type="dxa"/>
            <w:vMerge w:val="restart"/>
          </w:tcPr>
          <w:p>
            <w:pPr>
              <w:pStyle w:val="0"/>
              <w:jc w:val="center"/>
            </w:pPr>
            <w:r>
              <w:rPr>
                <w:sz w:val="20"/>
              </w:rPr>
              <w:t xml:space="preserve">Код БК</w:t>
            </w:r>
          </w:p>
        </w:tc>
        <w:tc>
          <w:tcPr>
            <w:tcW w:w="3118" w:type="dxa"/>
            <w:vMerge w:val="restart"/>
          </w:tcPr>
          <w:p>
            <w:pPr>
              <w:pStyle w:val="0"/>
              <w:jc w:val="center"/>
            </w:pPr>
            <w:r>
              <w:rPr>
                <w:sz w:val="20"/>
              </w:rPr>
              <w:t xml:space="preserve">Наименование разделов классификации расходов бюджетов</w:t>
            </w:r>
          </w:p>
        </w:tc>
        <w:tc>
          <w:tcPr>
            <w:gridSpan w:val="3"/>
            <w:tcW w:w="5098" w:type="dxa"/>
          </w:tcPr>
          <w:p>
            <w:pPr>
              <w:pStyle w:val="0"/>
              <w:jc w:val="center"/>
            </w:pPr>
            <w:r>
              <w:rPr>
                <w:sz w:val="20"/>
              </w:rPr>
              <w:t xml:space="preserve">Предельные объемы в тыс. руб.</w:t>
            </w:r>
          </w:p>
        </w:tc>
      </w:tr>
      <w:tr>
        <w:tc>
          <w:tcPr>
            <w:vMerge w:val="continue"/>
          </w:tcPr>
          <w:p/>
        </w:tc>
        <w:tc>
          <w:tcPr>
            <w:vMerge w:val="continue"/>
          </w:tcPr>
          <w:p/>
        </w:tc>
        <w:tc>
          <w:tcPr>
            <w:tcW w:w="1699" w:type="dxa"/>
          </w:tcPr>
          <w:p>
            <w:pPr>
              <w:pStyle w:val="0"/>
              <w:jc w:val="center"/>
            </w:pPr>
            <w:r>
              <w:rPr>
                <w:sz w:val="20"/>
              </w:rPr>
              <w:t xml:space="preserve">2021 год</w:t>
            </w:r>
          </w:p>
        </w:tc>
        <w:tc>
          <w:tcPr>
            <w:tcW w:w="1699" w:type="dxa"/>
          </w:tcPr>
          <w:p>
            <w:pPr>
              <w:pStyle w:val="0"/>
              <w:jc w:val="center"/>
            </w:pPr>
            <w:r>
              <w:rPr>
                <w:sz w:val="20"/>
              </w:rPr>
              <w:t xml:space="preserve">2022 год</w:t>
            </w:r>
          </w:p>
        </w:tc>
        <w:tc>
          <w:tcPr>
            <w:tcW w:w="1700" w:type="dxa"/>
          </w:tcPr>
          <w:p>
            <w:pPr>
              <w:pStyle w:val="0"/>
              <w:jc w:val="center"/>
            </w:pPr>
            <w:r>
              <w:rPr>
                <w:sz w:val="20"/>
              </w:rPr>
              <w:t xml:space="preserve">2023 год</w:t>
            </w:r>
          </w:p>
        </w:tc>
      </w:tr>
      <w:tr>
        <w:tc>
          <w:tcPr>
            <w:tcW w:w="850" w:type="dxa"/>
          </w:tcPr>
          <w:p>
            <w:pPr>
              <w:pStyle w:val="0"/>
              <w:jc w:val="center"/>
            </w:pPr>
            <w:r>
              <w:rPr>
                <w:sz w:val="20"/>
              </w:rPr>
              <w:t xml:space="preserve">0100</w:t>
            </w:r>
          </w:p>
        </w:tc>
        <w:tc>
          <w:tcPr>
            <w:tcW w:w="3118" w:type="dxa"/>
          </w:tcPr>
          <w:p>
            <w:pPr>
              <w:pStyle w:val="0"/>
            </w:pPr>
            <w:r>
              <w:rPr>
                <w:sz w:val="20"/>
              </w:rPr>
              <w:t xml:space="preserve">Общегосударственные вопросы</w:t>
            </w:r>
          </w:p>
        </w:tc>
        <w:tc>
          <w:tcPr>
            <w:tcW w:w="1699" w:type="dxa"/>
          </w:tcPr>
          <w:p>
            <w:pPr>
              <w:pStyle w:val="0"/>
              <w:jc w:val="center"/>
            </w:pPr>
            <w:r>
              <w:rPr>
                <w:sz w:val="20"/>
              </w:rPr>
              <w:t xml:space="preserve">1878617,5</w:t>
            </w:r>
          </w:p>
        </w:tc>
        <w:tc>
          <w:tcPr>
            <w:tcW w:w="1699" w:type="dxa"/>
          </w:tcPr>
          <w:p>
            <w:pPr>
              <w:pStyle w:val="0"/>
              <w:jc w:val="center"/>
            </w:pPr>
            <w:r>
              <w:rPr>
                <w:sz w:val="20"/>
              </w:rPr>
              <w:t xml:space="preserve">1629014,0</w:t>
            </w:r>
          </w:p>
        </w:tc>
        <w:tc>
          <w:tcPr>
            <w:tcW w:w="1700" w:type="dxa"/>
          </w:tcPr>
          <w:p>
            <w:pPr>
              <w:pStyle w:val="0"/>
              <w:jc w:val="center"/>
            </w:pPr>
            <w:r>
              <w:rPr>
                <w:sz w:val="20"/>
              </w:rPr>
              <w:t xml:space="preserve">1806816,5</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116243,4</w:t>
            </w:r>
          </w:p>
        </w:tc>
        <w:tc>
          <w:tcPr>
            <w:tcW w:w="1699" w:type="dxa"/>
          </w:tcPr>
          <w:p>
            <w:pPr>
              <w:pStyle w:val="0"/>
              <w:jc w:val="center"/>
            </w:pPr>
            <w:r>
              <w:rPr>
                <w:sz w:val="20"/>
              </w:rPr>
              <w:t xml:space="preserve">119114,9</w:t>
            </w:r>
          </w:p>
        </w:tc>
        <w:tc>
          <w:tcPr>
            <w:tcW w:w="1700" w:type="dxa"/>
          </w:tcPr>
          <w:p>
            <w:pPr>
              <w:pStyle w:val="0"/>
              <w:jc w:val="center"/>
            </w:pPr>
            <w:r>
              <w:rPr>
                <w:sz w:val="20"/>
              </w:rPr>
              <w:t xml:space="preserve">119114,9</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85538,0</w:t>
            </w:r>
          </w:p>
        </w:tc>
        <w:tc>
          <w:tcPr>
            <w:tcW w:w="1699" w:type="dxa"/>
          </w:tcPr>
          <w:p>
            <w:pPr>
              <w:pStyle w:val="0"/>
              <w:jc w:val="center"/>
            </w:pPr>
            <w:r>
              <w:rPr>
                <w:sz w:val="20"/>
              </w:rPr>
              <w:t xml:space="preserve">88409,5</w:t>
            </w:r>
          </w:p>
        </w:tc>
        <w:tc>
          <w:tcPr>
            <w:tcW w:w="1700" w:type="dxa"/>
          </w:tcPr>
          <w:p>
            <w:pPr>
              <w:pStyle w:val="0"/>
              <w:jc w:val="center"/>
            </w:pPr>
            <w:r>
              <w:rPr>
                <w:sz w:val="20"/>
              </w:rPr>
              <w:t xml:space="preserve">88409,5</w:t>
            </w:r>
          </w:p>
        </w:tc>
      </w:tr>
      <w:tr>
        <w:tc>
          <w:tcPr>
            <w:tcW w:w="850" w:type="dxa"/>
          </w:tcPr>
          <w:p>
            <w:pPr>
              <w:pStyle w:val="0"/>
            </w:pPr>
            <w:r>
              <w:rPr>
                <w:sz w:val="20"/>
              </w:rPr>
            </w:r>
          </w:p>
        </w:tc>
        <w:tc>
          <w:tcPr>
            <w:tcW w:w="3118" w:type="dxa"/>
          </w:tcPr>
          <w:p>
            <w:pPr>
              <w:pStyle w:val="0"/>
            </w:pPr>
            <w:r>
              <w:rPr>
                <w:sz w:val="20"/>
              </w:rPr>
              <w:t xml:space="preserve">иные межбюджетные трансферты</w:t>
            </w:r>
          </w:p>
        </w:tc>
        <w:tc>
          <w:tcPr>
            <w:tcW w:w="1699" w:type="dxa"/>
          </w:tcPr>
          <w:p>
            <w:pPr>
              <w:pStyle w:val="0"/>
              <w:jc w:val="center"/>
            </w:pPr>
            <w:r>
              <w:rPr>
                <w:sz w:val="20"/>
              </w:rPr>
              <w:t xml:space="preserve">30705,4</w:t>
            </w:r>
          </w:p>
        </w:tc>
        <w:tc>
          <w:tcPr>
            <w:tcW w:w="1699" w:type="dxa"/>
          </w:tcPr>
          <w:p>
            <w:pPr>
              <w:pStyle w:val="0"/>
              <w:jc w:val="center"/>
            </w:pPr>
            <w:r>
              <w:rPr>
                <w:sz w:val="20"/>
              </w:rPr>
              <w:t xml:space="preserve">30705,4</w:t>
            </w:r>
          </w:p>
        </w:tc>
        <w:tc>
          <w:tcPr>
            <w:tcW w:w="1700" w:type="dxa"/>
          </w:tcPr>
          <w:p>
            <w:pPr>
              <w:pStyle w:val="0"/>
              <w:jc w:val="center"/>
            </w:pPr>
            <w:r>
              <w:rPr>
                <w:sz w:val="20"/>
              </w:rPr>
              <w:t xml:space="preserve">30705,4</w:t>
            </w:r>
          </w:p>
        </w:tc>
      </w:tr>
      <w:tr>
        <w:tc>
          <w:tcPr>
            <w:tcW w:w="850" w:type="dxa"/>
          </w:tcPr>
          <w:p>
            <w:pPr>
              <w:pStyle w:val="0"/>
              <w:jc w:val="center"/>
            </w:pPr>
            <w:r>
              <w:rPr>
                <w:sz w:val="20"/>
              </w:rPr>
              <w:t xml:space="preserve">0200</w:t>
            </w:r>
          </w:p>
        </w:tc>
        <w:tc>
          <w:tcPr>
            <w:tcW w:w="3118" w:type="dxa"/>
          </w:tcPr>
          <w:p>
            <w:pPr>
              <w:pStyle w:val="0"/>
            </w:pPr>
            <w:r>
              <w:rPr>
                <w:sz w:val="20"/>
              </w:rPr>
              <w:t xml:space="preserve">Национальная оборона</w:t>
            </w:r>
          </w:p>
        </w:tc>
        <w:tc>
          <w:tcPr>
            <w:tcW w:w="1699" w:type="dxa"/>
          </w:tcPr>
          <w:p>
            <w:pPr>
              <w:pStyle w:val="0"/>
              <w:jc w:val="center"/>
            </w:pPr>
            <w:r>
              <w:rPr>
                <w:sz w:val="20"/>
              </w:rPr>
              <w:t xml:space="preserve">20153,1</w:t>
            </w:r>
          </w:p>
        </w:tc>
        <w:tc>
          <w:tcPr>
            <w:tcW w:w="1699" w:type="dxa"/>
          </w:tcPr>
          <w:p>
            <w:pPr>
              <w:pStyle w:val="0"/>
              <w:jc w:val="center"/>
            </w:pPr>
            <w:r>
              <w:rPr>
                <w:sz w:val="20"/>
              </w:rPr>
              <w:t xml:space="preserve">21542,4</w:t>
            </w:r>
          </w:p>
        </w:tc>
        <w:tc>
          <w:tcPr>
            <w:tcW w:w="1700" w:type="dxa"/>
          </w:tcPr>
          <w:p>
            <w:pPr>
              <w:pStyle w:val="0"/>
              <w:jc w:val="center"/>
            </w:pPr>
            <w:r>
              <w:rPr>
                <w:sz w:val="20"/>
              </w:rPr>
              <w:t xml:space="preserve">21542,4</w:t>
            </w:r>
          </w:p>
        </w:tc>
      </w:tr>
      <w:tr>
        <w:tc>
          <w:tcPr>
            <w:tcW w:w="850" w:type="dxa"/>
          </w:tcPr>
          <w:p>
            <w:pPr>
              <w:pStyle w:val="0"/>
            </w:pPr>
            <w:r>
              <w:rPr>
                <w:sz w:val="20"/>
              </w:rPr>
            </w:r>
          </w:p>
        </w:tc>
        <w:tc>
          <w:tcPr>
            <w:tcW w:w="3118" w:type="dxa"/>
          </w:tcPr>
          <w:p>
            <w:pPr>
              <w:pStyle w:val="0"/>
            </w:pPr>
            <w:r>
              <w:rPr>
                <w:sz w:val="20"/>
              </w:rPr>
              <w:t xml:space="preserve">в том числе субвенции муниципальным образованиям</w:t>
            </w:r>
          </w:p>
        </w:tc>
        <w:tc>
          <w:tcPr>
            <w:tcW w:w="1699" w:type="dxa"/>
          </w:tcPr>
          <w:p>
            <w:pPr>
              <w:pStyle w:val="0"/>
              <w:jc w:val="center"/>
            </w:pPr>
            <w:r>
              <w:rPr>
                <w:sz w:val="20"/>
              </w:rPr>
              <w:t xml:space="preserve">20153,1</w:t>
            </w:r>
          </w:p>
        </w:tc>
        <w:tc>
          <w:tcPr>
            <w:tcW w:w="1699" w:type="dxa"/>
          </w:tcPr>
          <w:p>
            <w:pPr>
              <w:pStyle w:val="0"/>
              <w:jc w:val="center"/>
            </w:pPr>
            <w:r>
              <w:rPr>
                <w:sz w:val="20"/>
              </w:rPr>
              <w:t xml:space="preserve">21542,4</w:t>
            </w:r>
          </w:p>
        </w:tc>
        <w:tc>
          <w:tcPr>
            <w:tcW w:w="1700" w:type="dxa"/>
          </w:tcPr>
          <w:p>
            <w:pPr>
              <w:pStyle w:val="0"/>
              <w:jc w:val="center"/>
            </w:pPr>
            <w:r>
              <w:rPr>
                <w:sz w:val="20"/>
              </w:rPr>
              <w:t xml:space="preserve">21542,4</w:t>
            </w:r>
          </w:p>
        </w:tc>
      </w:tr>
      <w:tr>
        <w:tc>
          <w:tcPr>
            <w:tcW w:w="850" w:type="dxa"/>
          </w:tcPr>
          <w:p>
            <w:pPr>
              <w:pStyle w:val="0"/>
              <w:jc w:val="center"/>
            </w:pPr>
            <w:r>
              <w:rPr>
                <w:sz w:val="20"/>
              </w:rPr>
              <w:t xml:space="preserve">0300</w:t>
            </w:r>
          </w:p>
        </w:tc>
        <w:tc>
          <w:tcPr>
            <w:tcW w:w="3118" w:type="dxa"/>
          </w:tcPr>
          <w:p>
            <w:pPr>
              <w:pStyle w:val="0"/>
            </w:pPr>
            <w:r>
              <w:rPr>
                <w:sz w:val="20"/>
              </w:rPr>
              <w:t xml:space="preserve">Национальная безопасность и правоохранительная деятельность</w:t>
            </w:r>
          </w:p>
        </w:tc>
        <w:tc>
          <w:tcPr>
            <w:tcW w:w="1699" w:type="dxa"/>
          </w:tcPr>
          <w:p>
            <w:pPr>
              <w:pStyle w:val="0"/>
              <w:jc w:val="center"/>
            </w:pPr>
            <w:r>
              <w:rPr>
                <w:sz w:val="20"/>
              </w:rPr>
              <w:t xml:space="preserve">241814,0</w:t>
            </w:r>
          </w:p>
        </w:tc>
        <w:tc>
          <w:tcPr>
            <w:tcW w:w="1699" w:type="dxa"/>
          </w:tcPr>
          <w:p>
            <w:pPr>
              <w:pStyle w:val="0"/>
              <w:jc w:val="center"/>
            </w:pPr>
            <w:r>
              <w:rPr>
                <w:sz w:val="20"/>
              </w:rPr>
              <w:t xml:space="preserve">241550,0</w:t>
            </w:r>
          </w:p>
        </w:tc>
        <w:tc>
          <w:tcPr>
            <w:tcW w:w="1700" w:type="dxa"/>
          </w:tcPr>
          <w:p>
            <w:pPr>
              <w:pStyle w:val="0"/>
              <w:jc w:val="center"/>
            </w:pPr>
            <w:r>
              <w:rPr>
                <w:sz w:val="20"/>
              </w:rPr>
              <w:t xml:space="preserve">241550,0</w:t>
            </w:r>
          </w:p>
        </w:tc>
      </w:tr>
      <w:tr>
        <w:tc>
          <w:tcPr>
            <w:tcW w:w="850" w:type="dxa"/>
          </w:tcPr>
          <w:p>
            <w:pPr>
              <w:pStyle w:val="0"/>
            </w:pPr>
            <w:r>
              <w:rPr>
                <w:sz w:val="20"/>
              </w:rPr>
            </w:r>
          </w:p>
        </w:tc>
        <w:tc>
          <w:tcPr>
            <w:tcW w:w="3118" w:type="dxa"/>
          </w:tcPr>
          <w:p>
            <w:pPr>
              <w:pStyle w:val="0"/>
            </w:pPr>
            <w:r>
              <w:rPr>
                <w:sz w:val="20"/>
              </w:rPr>
              <w:t xml:space="preserve">в том числе субсидии муниципальным образованиям</w:t>
            </w:r>
          </w:p>
        </w:tc>
        <w:tc>
          <w:tcPr>
            <w:tcW w:w="1699" w:type="dxa"/>
          </w:tcPr>
          <w:p>
            <w:pPr>
              <w:pStyle w:val="0"/>
              <w:jc w:val="center"/>
            </w:pPr>
            <w:r>
              <w:rPr>
                <w:sz w:val="20"/>
              </w:rPr>
              <w:t xml:space="preserve">3289,5</w:t>
            </w:r>
          </w:p>
        </w:tc>
        <w:tc>
          <w:tcPr>
            <w:tcW w:w="1699" w:type="dxa"/>
          </w:tcPr>
          <w:p>
            <w:pPr>
              <w:pStyle w:val="0"/>
              <w:jc w:val="center"/>
            </w:pPr>
            <w:r>
              <w:rPr>
                <w:sz w:val="20"/>
              </w:rPr>
              <w:t xml:space="preserve">1825,5</w:t>
            </w:r>
          </w:p>
        </w:tc>
        <w:tc>
          <w:tcPr>
            <w:tcW w:w="1700" w:type="dxa"/>
          </w:tcPr>
          <w:p>
            <w:pPr>
              <w:pStyle w:val="0"/>
              <w:jc w:val="center"/>
            </w:pPr>
            <w:r>
              <w:rPr>
                <w:sz w:val="20"/>
              </w:rPr>
              <w:t xml:space="preserve">1825,5</w:t>
            </w:r>
          </w:p>
        </w:tc>
      </w:tr>
      <w:tr>
        <w:tc>
          <w:tcPr>
            <w:tcW w:w="850" w:type="dxa"/>
          </w:tcPr>
          <w:p>
            <w:pPr>
              <w:pStyle w:val="0"/>
              <w:jc w:val="center"/>
            </w:pPr>
            <w:r>
              <w:rPr>
                <w:sz w:val="20"/>
              </w:rPr>
              <w:t xml:space="preserve">0400</w:t>
            </w:r>
          </w:p>
        </w:tc>
        <w:tc>
          <w:tcPr>
            <w:tcW w:w="3118" w:type="dxa"/>
          </w:tcPr>
          <w:p>
            <w:pPr>
              <w:pStyle w:val="0"/>
            </w:pPr>
            <w:r>
              <w:rPr>
                <w:sz w:val="20"/>
              </w:rPr>
              <w:t xml:space="preserve">Национальная экономика</w:t>
            </w:r>
          </w:p>
        </w:tc>
        <w:tc>
          <w:tcPr>
            <w:tcW w:w="1699" w:type="dxa"/>
          </w:tcPr>
          <w:p>
            <w:pPr>
              <w:pStyle w:val="0"/>
              <w:jc w:val="center"/>
            </w:pPr>
            <w:r>
              <w:rPr>
                <w:sz w:val="20"/>
              </w:rPr>
              <w:t xml:space="preserve">10334319,0</w:t>
            </w:r>
          </w:p>
        </w:tc>
        <w:tc>
          <w:tcPr>
            <w:tcW w:w="1699" w:type="dxa"/>
          </w:tcPr>
          <w:p>
            <w:pPr>
              <w:pStyle w:val="0"/>
              <w:jc w:val="center"/>
            </w:pPr>
            <w:r>
              <w:rPr>
                <w:sz w:val="20"/>
              </w:rPr>
              <w:t xml:space="preserve">10663443,8</w:t>
            </w:r>
          </w:p>
        </w:tc>
        <w:tc>
          <w:tcPr>
            <w:tcW w:w="1700" w:type="dxa"/>
          </w:tcPr>
          <w:p>
            <w:pPr>
              <w:pStyle w:val="0"/>
              <w:jc w:val="center"/>
            </w:pPr>
            <w:r>
              <w:rPr>
                <w:sz w:val="20"/>
              </w:rPr>
              <w:t xml:space="preserve">10589733,8</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936307,6</w:t>
            </w:r>
          </w:p>
        </w:tc>
        <w:tc>
          <w:tcPr>
            <w:tcW w:w="1699" w:type="dxa"/>
          </w:tcPr>
          <w:p>
            <w:pPr>
              <w:pStyle w:val="0"/>
              <w:jc w:val="center"/>
            </w:pPr>
            <w:r>
              <w:rPr>
                <w:sz w:val="20"/>
              </w:rPr>
              <w:t xml:space="preserve">735149,5</w:t>
            </w:r>
          </w:p>
        </w:tc>
        <w:tc>
          <w:tcPr>
            <w:tcW w:w="1700" w:type="dxa"/>
          </w:tcPr>
          <w:p>
            <w:pPr>
              <w:pStyle w:val="0"/>
              <w:jc w:val="center"/>
            </w:pPr>
            <w:r>
              <w:rPr>
                <w:sz w:val="20"/>
              </w:rPr>
              <w:t xml:space="preserve">546529,1</w:t>
            </w:r>
          </w:p>
        </w:tc>
      </w:tr>
      <w:tr>
        <w:tc>
          <w:tcPr>
            <w:tcW w:w="850" w:type="dxa"/>
          </w:tcPr>
          <w:p>
            <w:pPr>
              <w:pStyle w:val="0"/>
            </w:pPr>
            <w:r>
              <w:rPr>
                <w:sz w:val="20"/>
              </w:rPr>
            </w:r>
          </w:p>
        </w:tc>
        <w:tc>
          <w:tcPr>
            <w:tcW w:w="3118" w:type="dxa"/>
          </w:tcPr>
          <w:p>
            <w:pPr>
              <w:pStyle w:val="0"/>
            </w:pPr>
            <w:r>
              <w:rPr>
                <w:sz w:val="20"/>
              </w:rPr>
              <w:t xml:space="preserve">субсидии</w:t>
            </w:r>
          </w:p>
        </w:tc>
        <w:tc>
          <w:tcPr>
            <w:tcW w:w="1699" w:type="dxa"/>
          </w:tcPr>
          <w:p>
            <w:pPr>
              <w:pStyle w:val="0"/>
              <w:jc w:val="center"/>
            </w:pPr>
            <w:r>
              <w:rPr>
                <w:sz w:val="20"/>
              </w:rPr>
              <w:t xml:space="preserve">611405,6</w:t>
            </w:r>
          </w:p>
        </w:tc>
        <w:tc>
          <w:tcPr>
            <w:tcW w:w="1699" w:type="dxa"/>
          </w:tcPr>
          <w:p>
            <w:pPr>
              <w:pStyle w:val="0"/>
              <w:jc w:val="center"/>
            </w:pPr>
            <w:r>
              <w:rPr>
                <w:sz w:val="20"/>
              </w:rPr>
              <w:t xml:space="preserve">716247,5</w:t>
            </w:r>
          </w:p>
        </w:tc>
        <w:tc>
          <w:tcPr>
            <w:tcW w:w="1700" w:type="dxa"/>
          </w:tcPr>
          <w:p>
            <w:pPr>
              <w:pStyle w:val="0"/>
              <w:jc w:val="center"/>
            </w:pPr>
            <w:r>
              <w:rPr>
                <w:sz w:val="20"/>
              </w:rPr>
              <w:t xml:space="preserve">527627,1</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18102,0</w:t>
            </w:r>
          </w:p>
        </w:tc>
        <w:tc>
          <w:tcPr>
            <w:tcW w:w="1699" w:type="dxa"/>
          </w:tcPr>
          <w:p>
            <w:pPr>
              <w:pStyle w:val="0"/>
              <w:jc w:val="center"/>
            </w:pPr>
            <w:r>
              <w:rPr>
                <w:sz w:val="20"/>
              </w:rPr>
              <w:t xml:space="preserve">18102,0</w:t>
            </w:r>
          </w:p>
        </w:tc>
        <w:tc>
          <w:tcPr>
            <w:tcW w:w="1700" w:type="dxa"/>
          </w:tcPr>
          <w:p>
            <w:pPr>
              <w:pStyle w:val="0"/>
              <w:jc w:val="center"/>
            </w:pPr>
            <w:r>
              <w:rPr>
                <w:sz w:val="20"/>
              </w:rPr>
              <w:t xml:space="preserve">18102,0</w:t>
            </w:r>
          </w:p>
        </w:tc>
      </w:tr>
      <w:tr>
        <w:tc>
          <w:tcPr>
            <w:tcW w:w="850" w:type="dxa"/>
          </w:tcPr>
          <w:p>
            <w:pPr>
              <w:pStyle w:val="0"/>
            </w:pPr>
            <w:r>
              <w:rPr>
                <w:sz w:val="20"/>
              </w:rPr>
            </w:r>
          </w:p>
        </w:tc>
        <w:tc>
          <w:tcPr>
            <w:tcW w:w="3118" w:type="dxa"/>
          </w:tcPr>
          <w:p>
            <w:pPr>
              <w:pStyle w:val="0"/>
            </w:pPr>
            <w:r>
              <w:rPr>
                <w:sz w:val="20"/>
              </w:rPr>
              <w:t xml:space="preserve">иные межбюджетные трансферты</w:t>
            </w:r>
          </w:p>
        </w:tc>
        <w:tc>
          <w:tcPr>
            <w:tcW w:w="1699" w:type="dxa"/>
          </w:tcPr>
          <w:p>
            <w:pPr>
              <w:pStyle w:val="0"/>
              <w:jc w:val="center"/>
            </w:pPr>
            <w:r>
              <w:rPr>
                <w:sz w:val="20"/>
              </w:rPr>
              <w:t xml:space="preserve">306800,0</w:t>
            </w:r>
          </w:p>
        </w:tc>
        <w:tc>
          <w:tcPr>
            <w:tcW w:w="1699" w:type="dxa"/>
          </w:tcPr>
          <w:p>
            <w:pPr>
              <w:pStyle w:val="0"/>
              <w:jc w:val="center"/>
            </w:pPr>
            <w:r>
              <w:rPr>
                <w:sz w:val="20"/>
              </w:rPr>
              <w:t xml:space="preserve">800,0</w:t>
            </w:r>
          </w:p>
        </w:tc>
        <w:tc>
          <w:tcPr>
            <w:tcW w:w="1700" w:type="dxa"/>
          </w:tcPr>
          <w:p>
            <w:pPr>
              <w:pStyle w:val="0"/>
              <w:jc w:val="center"/>
            </w:pPr>
            <w:r>
              <w:rPr>
                <w:sz w:val="20"/>
              </w:rPr>
              <w:t xml:space="preserve">800,0</w:t>
            </w:r>
          </w:p>
        </w:tc>
      </w:tr>
      <w:tr>
        <w:tc>
          <w:tcPr>
            <w:tcW w:w="850" w:type="dxa"/>
          </w:tcPr>
          <w:p>
            <w:pPr>
              <w:pStyle w:val="0"/>
              <w:jc w:val="center"/>
            </w:pPr>
            <w:r>
              <w:rPr>
                <w:sz w:val="20"/>
              </w:rPr>
              <w:t xml:space="preserve">0500</w:t>
            </w:r>
          </w:p>
        </w:tc>
        <w:tc>
          <w:tcPr>
            <w:tcW w:w="3118" w:type="dxa"/>
          </w:tcPr>
          <w:p>
            <w:pPr>
              <w:pStyle w:val="0"/>
            </w:pPr>
            <w:r>
              <w:rPr>
                <w:sz w:val="20"/>
              </w:rPr>
              <w:t xml:space="preserve">Жилищно-коммунальное хозяйство</w:t>
            </w:r>
          </w:p>
        </w:tc>
        <w:tc>
          <w:tcPr>
            <w:tcW w:w="1699" w:type="dxa"/>
          </w:tcPr>
          <w:p>
            <w:pPr>
              <w:pStyle w:val="0"/>
              <w:jc w:val="center"/>
            </w:pPr>
            <w:r>
              <w:rPr>
                <w:sz w:val="20"/>
              </w:rPr>
              <w:t xml:space="preserve">2414397,2</w:t>
            </w:r>
          </w:p>
        </w:tc>
        <w:tc>
          <w:tcPr>
            <w:tcW w:w="1699" w:type="dxa"/>
          </w:tcPr>
          <w:p>
            <w:pPr>
              <w:pStyle w:val="0"/>
              <w:jc w:val="center"/>
            </w:pPr>
            <w:r>
              <w:rPr>
                <w:sz w:val="20"/>
              </w:rPr>
              <w:t xml:space="preserve">3333141,6</w:t>
            </w:r>
          </w:p>
        </w:tc>
        <w:tc>
          <w:tcPr>
            <w:tcW w:w="1700" w:type="dxa"/>
          </w:tcPr>
          <w:p>
            <w:pPr>
              <w:pStyle w:val="0"/>
              <w:jc w:val="center"/>
            </w:pPr>
            <w:r>
              <w:rPr>
                <w:sz w:val="20"/>
              </w:rPr>
              <w:t xml:space="preserve">3418056,4</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2131002,1</w:t>
            </w:r>
          </w:p>
        </w:tc>
        <w:tc>
          <w:tcPr>
            <w:tcW w:w="1699" w:type="dxa"/>
          </w:tcPr>
          <w:p>
            <w:pPr>
              <w:pStyle w:val="0"/>
              <w:jc w:val="center"/>
            </w:pPr>
            <w:r>
              <w:rPr>
                <w:sz w:val="20"/>
              </w:rPr>
              <w:t xml:space="preserve">3007640,9</w:t>
            </w:r>
          </w:p>
        </w:tc>
        <w:tc>
          <w:tcPr>
            <w:tcW w:w="1700" w:type="dxa"/>
          </w:tcPr>
          <w:p>
            <w:pPr>
              <w:pStyle w:val="0"/>
              <w:jc w:val="center"/>
            </w:pPr>
            <w:r>
              <w:rPr>
                <w:sz w:val="20"/>
              </w:rPr>
              <w:t xml:space="preserve">3085163,7</w:t>
            </w:r>
          </w:p>
        </w:tc>
      </w:tr>
      <w:tr>
        <w:tc>
          <w:tcPr>
            <w:tcW w:w="850" w:type="dxa"/>
          </w:tcPr>
          <w:p>
            <w:pPr>
              <w:pStyle w:val="0"/>
            </w:pPr>
            <w:r>
              <w:rPr>
                <w:sz w:val="20"/>
              </w:rPr>
            </w:r>
          </w:p>
        </w:tc>
        <w:tc>
          <w:tcPr>
            <w:tcW w:w="3118" w:type="dxa"/>
          </w:tcPr>
          <w:p>
            <w:pPr>
              <w:pStyle w:val="0"/>
            </w:pPr>
            <w:r>
              <w:rPr>
                <w:sz w:val="20"/>
              </w:rPr>
              <w:t xml:space="preserve">субсидии</w:t>
            </w:r>
          </w:p>
        </w:tc>
        <w:tc>
          <w:tcPr>
            <w:tcW w:w="1699" w:type="dxa"/>
          </w:tcPr>
          <w:p>
            <w:pPr>
              <w:pStyle w:val="0"/>
              <w:jc w:val="center"/>
            </w:pPr>
            <w:r>
              <w:rPr>
                <w:sz w:val="20"/>
              </w:rPr>
              <w:t xml:space="preserve">2123783,4</w:t>
            </w:r>
          </w:p>
        </w:tc>
        <w:tc>
          <w:tcPr>
            <w:tcW w:w="1699" w:type="dxa"/>
          </w:tcPr>
          <w:p>
            <w:pPr>
              <w:pStyle w:val="0"/>
              <w:jc w:val="center"/>
            </w:pPr>
            <w:r>
              <w:rPr>
                <w:sz w:val="20"/>
              </w:rPr>
              <w:t xml:space="preserve">3000422,2</w:t>
            </w:r>
          </w:p>
        </w:tc>
        <w:tc>
          <w:tcPr>
            <w:tcW w:w="1700" w:type="dxa"/>
          </w:tcPr>
          <w:p>
            <w:pPr>
              <w:pStyle w:val="0"/>
              <w:jc w:val="center"/>
            </w:pPr>
            <w:r>
              <w:rPr>
                <w:sz w:val="20"/>
              </w:rPr>
              <w:t xml:space="preserve">3077945,0</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7218,7</w:t>
            </w:r>
          </w:p>
        </w:tc>
        <w:tc>
          <w:tcPr>
            <w:tcW w:w="1699" w:type="dxa"/>
          </w:tcPr>
          <w:p>
            <w:pPr>
              <w:pStyle w:val="0"/>
              <w:jc w:val="center"/>
            </w:pPr>
            <w:r>
              <w:rPr>
                <w:sz w:val="20"/>
              </w:rPr>
              <w:t xml:space="preserve">7218,7</w:t>
            </w:r>
          </w:p>
        </w:tc>
        <w:tc>
          <w:tcPr>
            <w:tcW w:w="1700" w:type="dxa"/>
          </w:tcPr>
          <w:p>
            <w:pPr>
              <w:pStyle w:val="0"/>
              <w:jc w:val="center"/>
            </w:pPr>
            <w:r>
              <w:rPr>
                <w:sz w:val="20"/>
              </w:rPr>
              <w:t xml:space="preserve">7218,7</w:t>
            </w:r>
          </w:p>
        </w:tc>
      </w:tr>
      <w:tr>
        <w:tc>
          <w:tcPr>
            <w:tcW w:w="850" w:type="dxa"/>
          </w:tcPr>
          <w:p>
            <w:pPr>
              <w:pStyle w:val="0"/>
              <w:jc w:val="center"/>
            </w:pPr>
            <w:r>
              <w:rPr>
                <w:sz w:val="20"/>
              </w:rPr>
              <w:t xml:space="preserve">0600</w:t>
            </w:r>
          </w:p>
        </w:tc>
        <w:tc>
          <w:tcPr>
            <w:tcW w:w="3118" w:type="dxa"/>
          </w:tcPr>
          <w:p>
            <w:pPr>
              <w:pStyle w:val="0"/>
            </w:pPr>
            <w:r>
              <w:rPr>
                <w:sz w:val="20"/>
              </w:rPr>
              <w:t xml:space="preserve">Охрана окружающей среды</w:t>
            </w:r>
          </w:p>
        </w:tc>
        <w:tc>
          <w:tcPr>
            <w:tcW w:w="1699" w:type="dxa"/>
          </w:tcPr>
          <w:p>
            <w:pPr>
              <w:pStyle w:val="0"/>
              <w:jc w:val="center"/>
            </w:pPr>
            <w:r>
              <w:rPr>
                <w:sz w:val="20"/>
              </w:rPr>
              <w:t xml:space="preserve">142484,8</w:t>
            </w:r>
          </w:p>
        </w:tc>
        <w:tc>
          <w:tcPr>
            <w:tcW w:w="1699" w:type="dxa"/>
          </w:tcPr>
          <w:p>
            <w:pPr>
              <w:pStyle w:val="0"/>
              <w:jc w:val="center"/>
            </w:pPr>
            <w:r>
              <w:rPr>
                <w:sz w:val="20"/>
              </w:rPr>
              <w:t xml:space="preserve">125419,6</w:t>
            </w:r>
          </w:p>
        </w:tc>
        <w:tc>
          <w:tcPr>
            <w:tcW w:w="1700" w:type="dxa"/>
          </w:tcPr>
          <w:p>
            <w:pPr>
              <w:pStyle w:val="0"/>
              <w:jc w:val="center"/>
            </w:pPr>
            <w:r>
              <w:rPr>
                <w:sz w:val="20"/>
              </w:rPr>
              <w:t xml:space="preserve">127869,7</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38879,4</w:t>
            </w:r>
          </w:p>
        </w:tc>
        <w:tc>
          <w:tcPr>
            <w:tcW w:w="1699" w:type="dxa"/>
          </w:tcPr>
          <w:p>
            <w:pPr>
              <w:pStyle w:val="0"/>
              <w:jc w:val="center"/>
            </w:pPr>
            <w:r>
              <w:rPr>
                <w:sz w:val="20"/>
              </w:rPr>
              <w:t xml:space="preserve">19426,8</w:t>
            </w:r>
          </w:p>
        </w:tc>
        <w:tc>
          <w:tcPr>
            <w:tcW w:w="1700" w:type="dxa"/>
          </w:tcPr>
          <w:p>
            <w:pPr>
              <w:pStyle w:val="0"/>
              <w:jc w:val="center"/>
            </w:pPr>
            <w:r>
              <w:rPr>
                <w:sz w:val="20"/>
              </w:rPr>
              <w:t xml:space="preserve">20930,3</w:t>
            </w:r>
          </w:p>
        </w:tc>
      </w:tr>
      <w:tr>
        <w:tc>
          <w:tcPr>
            <w:tcW w:w="850" w:type="dxa"/>
          </w:tcPr>
          <w:p>
            <w:pPr>
              <w:pStyle w:val="0"/>
            </w:pPr>
            <w:r>
              <w:rPr>
                <w:sz w:val="20"/>
              </w:rPr>
            </w:r>
          </w:p>
        </w:tc>
        <w:tc>
          <w:tcPr>
            <w:tcW w:w="3118" w:type="dxa"/>
          </w:tcPr>
          <w:p>
            <w:pPr>
              <w:pStyle w:val="0"/>
            </w:pPr>
            <w:r>
              <w:rPr>
                <w:sz w:val="20"/>
              </w:rPr>
              <w:t xml:space="preserve">субсидии</w:t>
            </w:r>
          </w:p>
        </w:tc>
        <w:tc>
          <w:tcPr>
            <w:tcW w:w="1699" w:type="dxa"/>
          </w:tcPr>
          <w:p>
            <w:pPr>
              <w:pStyle w:val="0"/>
              <w:jc w:val="center"/>
            </w:pPr>
            <w:r>
              <w:rPr>
                <w:sz w:val="20"/>
              </w:rPr>
              <w:t xml:space="preserve">36170,1</w:t>
            </w:r>
          </w:p>
        </w:tc>
        <w:tc>
          <w:tcPr>
            <w:tcW w:w="1699" w:type="dxa"/>
          </w:tcPr>
          <w:p>
            <w:pPr>
              <w:pStyle w:val="0"/>
              <w:jc w:val="center"/>
            </w:pPr>
            <w:r>
              <w:rPr>
                <w:sz w:val="20"/>
              </w:rPr>
              <w:t xml:space="preserve">16717,5</w:t>
            </w:r>
          </w:p>
        </w:tc>
        <w:tc>
          <w:tcPr>
            <w:tcW w:w="1700" w:type="dxa"/>
          </w:tcPr>
          <w:p>
            <w:pPr>
              <w:pStyle w:val="0"/>
              <w:jc w:val="center"/>
            </w:pPr>
            <w:r>
              <w:rPr>
                <w:sz w:val="20"/>
              </w:rPr>
              <w:t xml:space="preserve">18221,0</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2709,3</w:t>
            </w:r>
          </w:p>
        </w:tc>
        <w:tc>
          <w:tcPr>
            <w:tcW w:w="1699" w:type="dxa"/>
          </w:tcPr>
          <w:p>
            <w:pPr>
              <w:pStyle w:val="0"/>
              <w:jc w:val="center"/>
            </w:pPr>
            <w:r>
              <w:rPr>
                <w:sz w:val="20"/>
              </w:rPr>
              <w:t xml:space="preserve">2709,3</w:t>
            </w:r>
          </w:p>
        </w:tc>
        <w:tc>
          <w:tcPr>
            <w:tcW w:w="1700" w:type="dxa"/>
          </w:tcPr>
          <w:p>
            <w:pPr>
              <w:pStyle w:val="0"/>
              <w:jc w:val="center"/>
            </w:pPr>
            <w:r>
              <w:rPr>
                <w:sz w:val="20"/>
              </w:rPr>
              <w:t xml:space="preserve">2709,3</w:t>
            </w:r>
          </w:p>
        </w:tc>
      </w:tr>
      <w:tr>
        <w:tc>
          <w:tcPr>
            <w:tcW w:w="850" w:type="dxa"/>
          </w:tcPr>
          <w:p>
            <w:pPr>
              <w:pStyle w:val="0"/>
              <w:jc w:val="center"/>
            </w:pPr>
            <w:r>
              <w:rPr>
                <w:sz w:val="20"/>
              </w:rPr>
              <w:t xml:space="preserve">0700</w:t>
            </w:r>
          </w:p>
        </w:tc>
        <w:tc>
          <w:tcPr>
            <w:tcW w:w="3118" w:type="dxa"/>
          </w:tcPr>
          <w:p>
            <w:pPr>
              <w:pStyle w:val="0"/>
            </w:pPr>
            <w:r>
              <w:rPr>
                <w:sz w:val="20"/>
              </w:rPr>
              <w:t xml:space="preserve">Образование</w:t>
            </w:r>
          </w:p>
        </w:tc>
        <w:tc>
          <w:tcPr>
            <w:tcW w:w="1699" w:type="dxa"/>
          </w:tcPr>
          <w:p>
            <w:pPr>
              <w:pStyle w:val="0"/>
              <w:jc w:val="center"/>
            </w:pPr>
            <w:r>
              <w:rPr>
                <w:sz w:val="20"/>
              </w:rPr>
              <w:t xml:space="preserve">16744039,0</w:t>
            </w:r>
          </w:p>
        </w:tc>
        <w:tc>
          <w:tcPr>
            <w:tcW w:w="1699" w:type="dxa"/>
          </w:tcPr>
          <w:p>
            <w:pPr>
              <w:pStyle w:val="0"/>
              <w:jc w:val="center"/>
            </w:pPr>
            <w:r>
              <w:rPr>
                <w:sz w:val="20"/>
              </w:rPr>
              <w:t xml:space="preserve">16174784,0</w:t>
            </w:r>
          </w:p>
        </w:tc>
        <w:tc>
          <w:tcPr>
            <w:tcW w:w="1700" w:type="dxa"/>
          </w:tcPr>
          <w:p>
            <w:pPr>
              <w:pStyle w:val="0"/>
              <w:jc w:val="center"/>
            </w:pPr>
            <w:r>
              <w:rPr>
                <w:sz w:val="20"/>
              </w:rPr>
              <w:t xml:space="preserve">15767644,5</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11881064,9</w:t>
            </w:r>
          </w:p>
        </w:tc>
        <w:tc>
          <w:tcPr>
            <w:tcW w:w="1699" w:type="dxa"/>
          </w:tcPr>
          <w:p>
            <w:pPr>
              <w:pStyle w:val="0"/>
              <w:jc w:val="center"/>
            </w:pPr>
            <w:r>
              <w:rPr>
                <w:sz w:val="20"/>
              </w:rPr>
              <w:t xml:space="preserve">11470381,6</w:t>
            </w:r>
          </w:p>
        </w:tc>
        <w:tc>
          <w:tcPr>
            <w:tcW w:w="1700" w:type="dxa"/>
          </w:tcPr>
          <w:p>
            <w:pPr>
              <w:pStyle w:val="0"/>
              <w:jc w:val="center"/>
            </w:pPr>
            <w:r>
              <w:rPr>
                <w:sz w:val="20"/>
              </w:rPr>
              <w:t xml:space="preserve">11063242,1</w:t>
            </w:r>
          </w:p>
        </w:tc>
      </w:tr>
      <w:tr>
        <w:tc>
          <w:tcPr>
            <w:tcW w:w="850" w:type="dxa"/>
          </w:tcPr>
          <w:p>
            <w:pPr>
              <w:pStyle w:val="0"/>
            </w:pPr>
            <w:r>
              <w:rPr>
                <w:sz w:val="20"/>
              </w:rPr>
            </w:r>
          </w:p>
        </w:tc>
        <w:tc>
          <w:tcPr>
            <w:tcW w:w="3118" w:type="dxa"/>
          </w:tcPr>
          <w:p>
            <w:pPr>
              <w:pStyle w:val="0"/>
            </w:pPr>
            <w:r>
              <w:rPr>
                <w:sz w:val="20"/>
              </w:rPr>
              <w:t xml:space="preserve">субсидии</w:t>
            </w:r>
          </w:p>
        </w:tc>
        <w:tc>
          <w:tcPr>
            <w:tcW w:w="1699" w:type="dxa"/>
          </w:tcPr>
          <w:p>
            <w:pPr>
              <w:pStyle w:val="0"/>
              <w:jc w:val="center"/>
            </w:pPr>
            <w:r>
              <w:rPr>
                <w:sz w:val="20"/>
              </w:rPr>
              <w:t xml:space="preserve">1803938,8</w:t>
            </w:r>
          </w:p>
        </w:tc>
        <w:tc>
          <w:tcPr>
            <w:tcW w:w="1699" w:type="dxa"/>
          </w:tcPr>
          <w:p>
            <w:pPr>
              <w:pStyle w:val="0"/>
              <w:jc w:val="center"/>
            </w:pPr>
            <w:r>
              <w:rPr>
                <w:sz w:val="20"/>
              </w:rPr>
              <w:t xml:space="preserve">1393255,5</w:t>
            </w:r>
          </w:p>
        </w:tc>
        <w:tc>
          <w:tcPr>
            <w:tcW w:w="1700" w:type="dxa"/>
          </w:tcPr>
          <w:p>
            <w:pPr>
              <w:pStyle w:val="0"/>
              <w:jc w:val="center"/>
            </w:pPr>
            <w:r>
              <w:rPr>
                <w:sz w:val="20"/>
              </w:rPr>
              <w:t xml:space="preserve">986116,0</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9544679,3</w:t>
            </w:r>
          </w:p>
        </w:tc>
        <w:tc>
          <w:tcPr>
            <w:tcW w:w="1699" w:type="dxa"/>
          </w:tcPr>
          <w:p>
            <w:pPr>
              <w:pStyle w:val="0"/>
              <w:jc w:val="center"/>
            </w:pPr>
            <w:r>
              <w:rPr>
                <w:sz w:val="20"/>
              </w:rPr>
              <w:t xml:space="preserve">9544679,3</w:t>
            </w:r>
          </w:p>
        </w:tc>
        <w:tc>
          <w:tcPr>
            <w:tcW w:w="1700" w:type="dxa"/>
          </w:tcPr>
          <w:p>
            <w:pPr>
              <w:pStyle w:val="0"/>
              <w:jc w:val="center"/>
            </w:pPr>
            <w:r>
              <w:rPr>
                <w:sz w:val="20"/>
              </w:rPr>
              <w:t xml:space="preserve">9544679,3</w:t>
            </w:r>
          </w:p>
        </w:tc>
      </w:tr>
      <w:tr>
        <w:tc>
          <w:tcPr>
            <w:tcW w:w="850" w:type="dxa"/>
          </w:tcPr>
          <w:p>
            <w:pPr>
              <w:pStyle w:val="0"/>
            </w:pPr>
            <w:r>
              <w:rPr>
                <w:sz w:val="20"/>
              </w:rPr>
            </w:r>
          </w:p>
        </w:tc>
        <w:tc>
          <w:tcPr>
            <w:tcW w:w="3118" w:type="dxa"/>
          </w:tcPr>
          <w:p>
            <w:pPr>
              <w:pStyle w:val="0"/>
            </w:pPr>
            <w:r>
              <w:rPr>
                <w:sz w:val="20"/>
              </w:rPr>
              <w:t xml:space="preserve">иные межбюджетные трансферты</w:t>
            </w:r>
          </w:p>
        </w:tc>
        <w:tc>
          <w:tcPr>
            <w:tcW w:w="1699" w:type="dxa"/>
          </w:tcPr>
          <w:p>
            <w:pPr>
              <w:pStyle w:val="0"/>
              <w:jc w:val="center"/>
            </w:pPr>
            <w:r>
              <w:rPr>
                <w:sz w:val="20"/>
              </w:rPr>
              <w:t xml:space="preserve">532446,8</w:t>
            </w:r>
          </w:p>
        </w:tc>
        <w:tc>
          <w:tcPr>
            <w:tcW w:w="1699" w:type="dxa"/>
          </w:tcPr>
          <w:p>
            <w:pPr>
              <w:pStyle w:val="0"/>
              <w:jc w:val="center"/>
            </w:pPr>
            <w:r>
              <w:rPr>
                <w:sz w:val="20"/>
              </w:rPr>
              <w:t xml:space="preserve">532446,8</w:t>
            </w:r>
          </w:p>
        </w:tc>
        <w:tc>
          <w:tcPr>
            <w:tcW w:w="1700" w:type="dxa"/>
          </w:tcPr>
          <w:p>
            <w:pPr>
              <w:pStyle w:val="0"/>
              <w:jc w:val="center"/>
            </w:pPr>
            <w:r>
              <w:rPr>
                <w:sz w:val="20"/>
              </w:rPr>
              <w:t xml:space="preserve">532446,8</w:t>
            </w:r>
          </w:p>
        </w:tc>
      </w:tr>
      <w:tr>
        <w:tc>
          <w:tcPr>
            <w:tcW w:w="850" w:type="dxa"/>
          </w:tcPr>
          <w:p>
            <w:pPr>
              <w:pStyle w:val="0"/>
              <w:jc w:val="center"/>
            </w:pPr>
            <w:r>
              <w:rPr>
                <w:sz w:val="20"/>
              </w:rPr>
              <w:t xml:space="preserve">0800</w:t>
            </w:r>
          </w:p>
        </w:tc>
        <w:tc>
          <w:tcPr>
            <w:tcW w:w="3118" w:type="dxa"/>
          </w:tcPr>
          <w:p>
            <w:pPr>
              <w:pStyle w:val="0"/>
            </w:pPr>
            <w:r>
              <w:rPr>
                <w:sz w:val="20"/>
              </w:rPr>
              <w:t xml:space="preserve">Культура, кинематография</w:t>
            </w:r>
          </w:p>
        </w:tc>
        <w:tc>
          <w:tcPr>
            <w:tcW w:w="1699" w:type="dxa"/>
          </w:tcPr>
          <w:p>
            <w:pPr>
              <w:pStyle w:val="0"/>
              <w:jc w:val="center"/>
            </w:pPr>
            <w:r>
              <w:rPr>
                <w:sz w:val="20"/>
              </w:rPr>
              <w:t xml:space="preserve">1571796,4</w:t>
            </w:r>
          </w:p>
        </w:tc>
        <w:tc>
          <w:tcPr>
            <w:tcW w:w="1699" w:type="dxa"/>
          </w:tcPr>
          <w:p>
            <w:pPr>
              <w:pStyle w:val="0"/>
              <w:jc w:val="center"/>
            </w:pPr>
            <w:r>
              <w:rPr>
                <w:sz w:val="20"/>
              </w:rPr>
              <w:t xml:space="preserve">1548005,9</w:t>
            </w:r>
          </w:p>
        </w:tc>
        <w:tc>
          <w:tcPr>
            <w:tcW w:w="1700" w:type="dxa"/>
          </w:tcPr>
          <w:p>
            <w:pPr>
              <w:pStyle w:val="0"/>
              <w:jc w:val="center"/>
            </w:pPr>
            <w:r>
              <w:rPr>
                <w:sz w:val="20"/>
              </w:rPr>
              <w:t xml:space="preserve">1548030,9</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763836,3</w:t>
            </w:r>
          </w:p>
        </w:tc>
        <w:tc>
          <w:tcPr>
            <w:tcW w:w="1699" w:type="dxa"/>
          </w:tcPr>
          <w:p>
            <w:pPr>
              <w:pStyle w:val="0"/>
              <w:jc w:val="center"/>
            </w:pPr>
            <w:r>
              <w:rPr>
                <w:sz w:val="20"/>
              </w:rPr>
              <w:t xml:space="preserve">739156,6</w:t>
            </w:r>
          </w:p>
        </w:tc>
        <w:tc>
          <w:tcPr>
            <w:tcW w:w="1700" w:type="dxa"/>
          </w:tcPr>
          <w:p>
            <w:pPr>
              <w:pStyle w:val="0"/>
              <w:jc w:val="center"/>
            </w:pPr>
            <w:r>
              <w:rPr>
                <w:sz w:val="20"/>
              </w:rPr>
              <w:t xml:space="preserve">739156,6</w:t>
            </w:r>
          </w:p>
        </w:tc>
      </w:tr>
      <w:tr>
        <w:tc>
          <w:tcPr>
            <w:tcW w:w="850" w:type="dxa"/>
          </w:tcPr>
          <w:p>
            <w:pPr>
              <w:pStyle w:val="0"/>
            </w:pPr>
            <w:r>
              <w:rPr>
                <w:sz w:val="20"/>
              </w:rPr>
            </w:r>
          </w:p>
        </w:tc>
        <w:tc>
          <w:tcPr>
            <w:tcW w:w="3118" w:type="dxa"/>
          </w:tcPr>
          <w:p>
            <w:pPr>
              <w:pStyle w:val="0"/>
            </w:pPr>
            <w:r>
              <w:rPr>
                <w:sz w:val="20"/>
              </w:rPr>
              <w:t xml:space="preserve">субсидии</w:t>
            </w:r>
          </w:p>
        </w:tc>
        <w:tc>
          <w:tcPr>
            <w:tcW w:w="1699" w:type="dxa"/>
          </w:tcPr>
          <w:p>
            <w:pPr>
              <w:pStyle w:val="0"/>
              <w:jc w:val="center"/>
            </w:pPr>
            <w:r>
              <w:rPr>
                <w:sz w:val="20"/>
              </w:rPr>
              <w:t xml:space="preserve">720222,3</w:t>
            </w:r>
          </w:p>
        </w:tc>
        <w:tc>
          <w:tcPr>
            <w:tcW w:w="1699" w:type="dxa"/>
          </w:tcPr>
          <w:p>
            <w:pPr>
              <w:pStyle w:val="0"/>
              <w:jc w:val="center"/>
            </w:pPr>
            <w:r>
              <w:rPr>
                <w:sz w:val="20"/>
              </w:rPr>
              <w:t xml:space="preserve">694073,6</w:t>
            </w:r>
          </w:p>
        </w:tc>
        <w:tc>
          <w:tcPr>
            <w:tcW w:w="1700" w:type="dxa"/>
          </w:tcPr>
          <w:p>
            <w:pPr>
              <w:pStyle w:val="0"/>
              <w:jc w:val="center"/>
            </w:pPr>
            <w:r>
              <w:rPr>
                <w:sz w:val="20"/>
              </w:rPr>
              <w:t xml:space="preserve">694073,6</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22627,0</w:t>
            </w:r>
          </w:p>
        </w:tc>
        <w:tc>
          <w:tcPr>
            <w:tcW w:w="1699" w:type="dxa"/>
          </w:tcPr>
          <w:p>
            <w:pPr>
              <w:pStyle w:val="0"/>
              <w:jc w:val="center"/>
            </w:pPr>
            <w:r>
              <w:rPr>
                <w:sz w:val="20"/>
              </w:rPr>
              <w:t xml:space="preserve">22627,0</w:t>
            </w:r>
          </w:p>
        </w:tc>
        <w:tc>
          <w:tcPr>
            <w:tcW w:w="1700" w:type="dxa"/>
          </w:tcPr>
          <w:p>
            <w:pPr>
              <w:pStyle w:val="0"/>
              <w:jc w:val="center"/>
            </w:pPr>
            <w:r>
              <w:rPr>
                <w:sz w:val="20"/>
              </w:rPr>
              <w:t xml:space="preserve">22627,0</w:t>
            </w:r>
          </w:p>
        </w:tc>
      </w:tr>
      <w:tr>
        <w:tc>
          <w:tcPr>
            <w:tcW w:w="850" w:type="dxa"/>
          </w:tcPr>
          <w:p>
            <w:pPr>
              <w:pStyle w:val="0"/>
            </w:pPr>
            <w:r>
              <w:rPr>
                <w:sz w:val="20"/>
              </w:rPr>
            </w:r>
          </w:p>
        </w:tc>
        <w:tc>
          <w:tcPr>
            <w:tcW w:w="3118" w:type="dxa"/>
          </w:tcPr>
          <w:p>
            <w:pPr>
              <w:pStyle w:val="0"/>
            </w:pPr>
            <w:r>
              <w:rPr>
                <w:sz w:val="20"/>
              </w:rPr>
              <w:t xml:space="preserve">иные межбюджетные трансферты</w:t>
            </w:r>
          </w:p>
        </w:tc>
        <w:tc>
          <w:tcPr>
            <w:tcW w:w="1699" w:type="dxa"/>
          </w:tcPr>
          <w:p>
            <w:pPr>
              <w:pStyle w:val="0"/>
              <w:jc w:val="center"/>
            </w:pPr>
            <w:r>
              <w:rPr>
                <w:sz w:val="20"/>
              </w:rPr>
              <w:t xml:space="preserve">20987,0</w:t>
            </w:r>
          </w:p>
        </w:tc>
        <w:tc>
          <w:tcPr>
            <w:tcW w:w="1699" w:type="dxa"/>
          </w:tcPr>
          <w:p>
            <w:pPr>
              <w:pStyle w:val="0"/>
              <w:jc w:val="center"/>
            </w:pPr>
            <w:r>
              <w:rPr>
                <w:sz w:val="20"/>
              </w:rPr>
              <w:t xml:space="preserve">22456,0</w:t>
            </w:r>
          </w:p>
        </w:tc>
        <w:tc>
          <w:tcPr>
            <w:tcW w:w="1700" w:type="dxa"/>
          </w:tcPr>
          <w:p>
            <w:pPr>
              <w:pStyle w:val="0"/>
              <w:jc w:val="center"/>
            </w:pPr>
            <w:r>
              <w:rPr>
                <w:sz w:val="20"/>
              </w:rPr>
              <w:t xml:space="preserve">22456,0</w:t>
            </w:r>
          </w:p>
        </w:tc>
      </w:tr>
      <w:tr>
        <w:tc>
          <w:tcPr>
            <w:tcW w:w="850" w:type="dxa"/>
          </w:tcPr>
          <w:p>
            <w:pPr>
              <w:pStyle w:val="0"/>
              <w:jc w:val="center"/>
            </w:pPr>
            <w:r>
              <w:rPr>
                <w:sz w:val="20"/>
              </w:rPr>
              <w:t xml:space="preserve">0900</w:t>
            </w:r>
          </w:p>
        </w:tc>
        <w:tc>
          <w:tcPr>
            <w:tcW w:w="3118" w:type="dxa"/>
          </w:tcPr>
          <w:p>
            <w:pPr>
              <w:pStyle w:val="0"/>
            </w:pPr>
            <w:r>
              <w:rPr>
                <w:sz w:val="20"/>
              </w:rPr>
              <w:t xml:space="preserve">Здравоохранение</w:t>
            </w:r>
          </w:p>
        </w:tc>
        <w:tc>
          <w:tcPr>
            <w:tcW w:w="1699" w:type="dxa"/>
          </w:tcPr>
          <w:p>
            <w:pPr>
              <w:pStyle w:val="0"/>
              <w:jc w:val="center"/>
            </w:pPr>
            <w:r>
              <w:rPr>
                <w:sz w:val="20"/>
              </w:rPr>
              <w:t xml:space="preserve">6932211,6</w:t>
            </w:r>
          </w:p>
        </w:tc>
        <w:tc>
          <w:tcPr>
            <w:tcW w:w="1699" w:type="dxa"/>
          </w:tcPr>
          <w:p>
            <w:pPr>
              <w:pStyle w:val="0"/>
              <w:jc w:val="center"/>
            </w:pPr>
            <w:r>
              <w:rPr>
                <w:sz w:val="20"/>
              </w:rPr>
              <w:t xml:space="preserve">6773304,9</w:t>
            </w:r>
          </w:p>
        </w:tc>
        <w:tc>
          <w:tcPr>
            <w:tcW w:w="1700" w:type="dxa"/>
          </w:tcPr>
          <w:p>
            <w:pPr>
              <w:pStyle w:val="0"/>
              <w:jc w:val="center"/>
            </w:pPr>
            <w:r>
              <w:rPr>
                <w:sz w:val="20"/>
              </w:rPr>
              <w:t xml:space="preserve">6773304,9</w:t>
            </w:r>
          </w:p>
        </w:tc>
      </w:tr>
      <w:tr>
        <w:tc>
          <w:tcPr>
            <w:tcW w:w="850" w:type="dxa"/>
          </w:tcPr>
          <w:p>
            <w:pPr>
              <w:pStyle w:val="0"/>
            </w:pPr>
            <w:r>
              <w:rPr>
                <w:sz w:val="20"/>
              </w:rPr>
            </w:r>
          </w:p>
        </w:tc>
        <w:tc>
          <w:tcPr>
            <w:tcW w:w="3118" w:type="dxa"/>
          </w:tcPr>
          <w:p>
            <w:pPr>
              <w:pStyle w:val="0"/>
            </w:pPr>
            <w:r>
              <w:rPr>
                <w:sz w:val="20"/>
              </w:rPr>
              <w:t xml:space="preserve">в том числе субсидии муниципальным образованиям</w:t>
            </w:r>
          </w:p>
        </w:tc>
        <w:tc>
          <w:tcPr>
            <w:tcW w:w="1699" w:type="dxa"/>
          </w:tcPr>
          <w:p>
            <w:pPr>
              <w:pStyle w:val="0"/>
              <w:jc w:val="center"/>
            </w:pPr>
            <w:r>
              <w:rPr>
                <w:sz w:val="20"/>
              </w:rPr>
              <w:t xml:space="preserve">11413,0</w:t>
            </w:r>
          </w:p>
        </w:tc>
        <w:tc>
          <w:tcPr>
            <w:tcW w:w="1699" w:type="dxa"/>
          </w:tcPr>
          <w:p>
            <w:pPr>
              <w:pStyle w:val="0"/>
              <w:jc w:val="center"/>
            </w:pPr>
            <w:r>
              <w:rPr>
                <w:sz w:val="20"/>
              </w:rPr>
              <w:t xml:space="preserve">3283,4</w:t>
            </w:r>
          </w:p>
        </w:tc>
        <w:tc>
          <w:tcPr>
            <w:tcW w:w="1700" w:type="dxa"/>
          </w:tcPr>
          <w:p>
            <w:pPr>
              <w:pStyle w:val="0"/>
              <w:jc w:val="center"/>
            </w:pPr>
            <w:r>
              <w:rPr>
                <w:sz w:val="20"/>
              </w:rPr>
              <w:t xml:space="preserve">3283,4</w:t>
            </w:r>
          </w:p>
        </w:tc>
      </w:tr>
      <w:tr>
        <w:tc>
          <w:tcPr>
            <w:tcW w:w="850" w:type="dxa"/>
          </w:tcPr>
          <w:p>
            <w:pPr>
              <w:pStyle w:val="0"/>
              <w:jc w:val="center"/>
            </w:pPr>
            <w:r>
              <w:rPr>
                <w:sz w:val="20"/>
              </w:rPr>
              <w:t xml:space="preserve">1000</w:t>
            </w:r>
          </w:p>
        </w:tc>
        <w:tc>
          <w:tcPr>
            <w:tcW w:w="3118" w:type="dxa"/>
          </w:tcPr>
          <w:p>
            <w:pPr>
              <w:pStyle w:val="0"/>
            </w:pPr>
            <w:r>
              <w:rPr>
                <w:sz w:val="20"/>
              </w:rPr>
              <w:t xml:space="preserve">Социальная политика</w:t>
            </w:r>
          </w:p>
        </w:tc>
        <w:tc>
          <w:tcPr>
            <w:tcW w:w="1699" w:type="dxa"/>
          </w:tcPr>
          <w:p>
            <w:pPr>
              <w:pStyle w:val="0"/>
              <w:jc w:val="center"/>
            </w:pPr>
            <w:r>
              <w:rPr>
                <w:sz w:val="20"/>
              </w:rPr>
              <w:t xml:space="preserve">19881762,2</w:t>
            </w:r>
          </w:p>
        </w:tc>
        <w:tc>
          <w:tcPr>
            <w:tcW w:w="1699" w:type="dxa"/>
          </w:tcPr>
          <w:p>
            <w:pPr>
              <w:pStyle w:val="0"/>
              <w:jc w:val="center"/>
            </w:pPr>
            <w:r>
              <w:rPr>
                <w:sz w:val="20"/>
              </w:rPr>
              <w:t xml:space="preserve">19889681,7</w:t>
            </w:r>
          </w:p>
        </w:tc>
        <w:tc>
          <w:tcPr>
            <w:tcW w:w="1700" w:type="dxa"/>
          </w:tcPr>
          <w:p>
            <w:pPr>
              <w:pStyle w:val="0"/>
              <w:jc w:val="center"/>
            </w:pPr>
            <w:r>
              <w:rPr>
                <w:sz w:val="20"/>
              </w:rPr>
              <w:t xml:space="preserve">19765989,0</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1770978,5</w:t>
            </w:r>
          </w:p>
        </w:tc>
        <w:tc>
          <w:tcPr>
            <w:tcW w:w="1699" w:type="dxa"/>
          </w:tcPr>
          <w:p>
            <w:pPr>
              <w:pStyle w:val="0"/>
              <w:jc w:val="center"/>
            </w:pPr>
            <w:r>
              <w:rPr>
                <w:sz w:val="20"/>
              </w:rPr>
              <w:t xml:space="preserve">1784433,5</w:t>
            </w:r>
          </w:p>
        </w:tc>
        <w:tc>
          <w:tcPr>
            <w:tcW w:w="1700" w:type="dxa"/>
          </w:tcPr>
          <w:p>
            <w:pPr>
              <w:pStyle w:val="0"/>
              <w:jc w:val="center"/>
            </w:pPr>
            <w:r>
              <w:rPr>
                <w:sz w:val="20"/>
              </w:rPr>
              <w:t xml:space="preserve">1811967,4</w:t>
            </w:r>
          </w:p>
        </w:tc>
      </w:tr>
      <w:tr>
        <w:tc>
          <w:tcPr>
            <w:tcW w:w="850" w:type="dxa"/>
          </w:tcPr>
          <w:p>
            <w:pPr>
              <w:pStyle w:val="0"/>
            </w:pPr>
            <w:r>
              <w:rPr>
                <w:sz w:val="20"/>
              </w:rPr>
            </w:r>
          </w:p>
        </w:tc>
        <w:tc>
          <w:tcPr>
            <w:tcW w:w="3118" w:type="dxa"/>
          </w:tcPr>
          <w:p>
            <w:pPr>
              <w:pStyle w:val="0"/>
            </w:pPr>
            <w:r>
              <w:rPr>
                <w:sz w:val="20"/>
              </w:rPr>
              <w:t xml:space="preserve">субсидии</w:t>
            </w:r>
          </w:p>
        </w:tc>
        <w:tc>
          <w:tcPr>
            <w:tcW w:w="1699" w:type="dxa"/>
          </w:tcPr>
          <w:p>
            <w:pPr>
              <w:pStyle w:val="0"/>
              <w:jc w:val="center"/>
            </w:pPr>
            <w:r>
              <w:rPr>
                <w:sz w:val="20"/>
              </w:rPr>
              <w:t xml:space="preserve">285439,7</w:t>
            </w:r>
          </w:p>
        </w:tc>
        <w:tc>
          <w:tcPr>
            <w:tcW w:w="1699" w:type="dxa"/>
          </w:tcPr>
          <w:p>
            <w:pPr>
              <w:pStyle w:val="0"/>
              <w:jc w:val="center"/>
            </w:pPr>
            <w:r>
              <w:rPr>
                <w:sz w:val="20"/>
              </w:rPr>
              <w:t xml:space="preserve">297161,3</w:t>
            </w:r>
          </w:p>
        </w:tc>
        <w:tc>
          <w:tcPr>
            <w:tcW w:w="1700" w:type="dxa"/>
          </w:tcPr>
          <w:p>
            <w:pPr>
              <w:pStyle w:val="0"/>
              <w:jc w:val="center"/>
            </w:pPr>
            <w:r>
              <w:rPr>
                <w:sz w:val="20"/>
              </w:rPr>
              <w:t xml:space="preserve">317585,2</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1454538,8</w:t>
            </w:r>
          </w:p>
        </w:tc>
        <w:tc>
          <w:tcPr>
            <w:tcW w:w="1699" w:type="dxa"/>
          </w:tcPr>
          <w:p>
            <w:pPr>
              <w:pStyle w:val="0"/>
              <w:jc w:val="center"/>
            </w:pPr>
            <w:r>
              <w:rPr>
                <w:sz w:val="20"/>
              </w:rPr>
              <w:t xml:space="preserve">1454382,2</w:t>
            </w:r>
          </w:p>
        </w:tc>
        <w:tc>
          <w:tcPr>
            <w:tcW w:w="1700" w:type="dxa"/>
          </w:tcPr>
          <w:p>
            <w:pPr>
              <w:pStyle w:val="0"/>
              <w:jc w:val="center"/>
            </w:pPr>
            <w:r>
              <w:rPr>
                <w:sz w:val="20"/>
              </w:rPr>
              <w:t xml:space="preserve">1454382,2</w:t>
            </w:r>
          </w:p>
        </w:tc>
      </w:tr>
      <w:tr>
        <w:tc>
          <w:tcPr>
            <w:tcW w:w="850" w:type="dxa"/>
          </w:tcPr>
          <w:p>
            <w:pPr>
              <w:pStyle w:val="0"/>
            </w:pPr>
            <w:r>
              <w:rPr>
                <w:sz w:val="20"/>
              </w:rPr>
            </w:r>
          </w:p>
        </w:tc>
        <w:tc>
          <w:tcPr>
            <w:tcW w:w="3118" w:type="dxa"/>
          </w:tcPr>
          <w:p>
            <w:pPr>
              <w:pStyle w:val="0"/>
            </w:pPr>
            <w:r>
              <w:rPr>
                <w:sz w:val="20"/>
              </w:rPr>
              <w:t xml:space="preserve">иные межбюджетные трансферты</w:t>
            </w:r>
          </w:p>
        </w:tc>
        <w:tc>
          <w:tcPr>
            <w:tcW w:w="1699" w:type="dxa"/>
          </w:tcPr>
          <w:p>
            <w:pPr>
              <w:pStyle w:val="0"/>
              <w:jc w:val="center"/>
            </w:pPr>
            <w:r>
              <w:rPr>
                <w:sz w:val="20"/>
              </w:rPr>
              <w:t xml:space="preserve">31000,0</w:t>
            </w:r>
          </w:p>
        </w:tc>
        <w:tc>
          <w:tcPr>
            <w:tcW w:w="1699" w:type="dxa"/>
          </w:tcPr>
          <w:p>
            <w:pPr>
              <w:pStyle w:val="0"/>
              <w:jc w:val="center"/>
            </w:pPr>
            <w:r>
              <w:rPr>
                <w:sz w:val="20"/>
              </w:rPr>
              <w:t xml:space="preserve">32890,0</w:t>
            </w:r>
          </w:p>
        </w:tc>
        <w:tc>
          <w:tcPr>
            <w:tcW w:w="1700" w:type="dxa"/>
          </w:tcPr>
          <w:p>
            <w:pPr>
              <w:pStyle w:val="0"/>
              <w:jc w:val="center"/>
            </w:pPr>
            <w:r>
              <w:rPr>
                <w:sz w:val="20"/>
              </w:rPr>
              <w:t xml:space="preserve">40000,0</w:t>
            </w:r>
          </w:p>
        </w:tc>
      </w:tr>
      <w:tr>
        <w:tc>
          <w:tcPr>
            <w:tcW w:w="850" w:type="dxa"/>
          </w:tcPr>
          <w:p>
            <w:pPr>
              <w:pStyle w:val="0"/>
              <w:jc w:val="center"/>
            </w:pPr>
            <w:r>
              <w:rPr>
                <w:sz w:val="20"/>
              </w:rPr>
              <w:t xml:space="preserve">1100</w:t>
            </w:r>
          </w:p>
        </w:tc>
        <w:tc>
          <w:tcPr>
            <w:tcW w:w="3118" w:type="dxa"/>
          </w:tcPr>
          <w:p>
            <w:pPr>
              <w:pStyle w:val="0"/>
            </w:pPr>
            <w:r>
              <w:rPr>
                <w:sz w:val="20"/>
              </w:rPr>
              <w:t xml:space="preserve">Физическая культура и спорт</w:t>
            </w:r>
          </w:p>
        </w:tc>
        <w:tc>
          <w:tcPr>
            <w:tcW w:w="1699" w:type="dxa"/>
          </w:tcPr>
          <w:p>
            <w:pPr>
              <w:pStyle w:val="0"/>
              <w:jc w:val="center"/>
            </w:pPr>
            <w:r>
              <w:rPr>
                <w:sz w:val="20"/>
              </w:rPr>
              <w:t xml:space="preserve">658454,2</w:t>
            </w:r>
          </w:p>
        </w:tc>
        <w:tc>
          <w:tcPr>
            <w:tcW w:w="1699" w:type="dxa"/>
          </w:tcPr>
          <w:p>
            <w:pPr>
              <w:pStyle w:val="0"/>
              <w:jc w:val="center"/>
            </w:pPr>
            <w:r>
              <w:rPr>
                <w:sz w:val="20"/>
              </w:rPr>
              <w:t xml:space="preserve">908660,5</w:t>
            </w:r>
          </w:p>
        </w:tc>
        <w:tc>
          <w:tcPr>
            <w:tcW w:w="1700" w:type="dxa"/>
          </w:tcPr>
          <w:p>
            <w:pPr>
              <w:pStyle w:val="0"/>
              <w:jc w:val="center"/>
            </w:pPr>
            <w:r>
              <w:rPr>
                <w:sz w:val="20"/>
              </w:rPr>
              <w:t xml:space="preserve">673919,8</w:t>
            </w:r>
          </w:p>
        </w:tc>
      </w:tr>
      <w:tr>
        <w:tc>
          <w:tcPr>
            <w:tcW w:w="850" w:type="dxa"/>
          </w:tcPr>
          <w:p>
            <w:pPr>
              <w:pStyle w:val="0"/>
            </w:pPr>
            <w:r>
              <w:rPr>
                <w:sz w:val="20"/>
              </w:rPr>
            </w:r>
          </w:p>
        </w:tc>
        <w:tc>
          <w:tcPr>
            <w:tcW w:w="3118" w:type="dxa"/>
          </w:tcPr>
          <w:p>
            <w:pPr>
              <w:pStyle w:val="0"/>
            </w:pPr>
            <w:r>
              <w:rPr>
                <w:sz w:val="20"/>
              </w:rPr>
              <w:t xml:space="preserve">в том числе субсидии муниципальным образованиям</w:t>
            </w:r>
          </w:p>
        </w:tc>
        <w:tc>
          <w:tcPr>
            <w:tcW w:w="1699" w:type="dxa"/>
          </w:tcPr>
          <w:p>
            <w:pPr>
              <w:pStyle w:val="0"/>
              <w:jc w:val="center"/>
            </w:pPr>
            <w:r>
              <w:rPr>
                <w:sz w:val="20"/>
              </w:rPr>
              <w:t xml:space="preserve">202467,0</w:t>
            </w:r>
          </w:p>
        </w:tc>
        <w:tc>
          <w:tcPr>
            <w:tcW w:w="1699" w:type="dxa"/>
          </w:tcPr>
          <w:p>
            <w:pPr>
              <w:pStyle w:val="0"/>
              <w:jc w:val="center"/>
            </w:pPr>
            <w:r>
              <w:rPr>
                <w:sz w:val="20"/>
              </w:rPr>
              <w:t xml:space="preserve">398855,0</w:t>
            </w:r>
          </w:p>
        </w:tc>
        <w:tc>
          <w:tcPr>
            <w:tcW w:w="1700" w:type="dxa"/>
          </w:tcPr>
          <w:p>
            <w:pPr>
              <w:pStyle w:val="0"/>
              <w:jc w:val="center"/>
            </w:pPr>
            <w:r>
              <w:rPr>
                <w:sz w:val="20"/>
              </w:rPr>
              <w:t xml:space="preserve">164114,3</w:t>
            </w:r>
          </w:p>
        </w:tc>
      </w:tr>
      <w:tr>
        <w:tc>
          <w:tcPr>
            <w:tcW w:w="850" w:type="dxa"/>
          </w:tcPr>
          <w:p>
            <w:pPr>
              <w:pStyle w:val="0"/>
              <w:jc w:val="center"/>
            </w:pPr>
            <w:r>
              <w:rPr>
                <w:sz w:val="20"/>
              </w:rPr>
              <w:t xml:space="preserve">1200</w:t>
            </w:r>
          </w:p>
        </w:tc>
        <w:tc>
          <w:tcPr>
            <w:tcW w:w="3118" w:type="dxa"/>
          </w:tcPr>
          <w:p>
            <w:pPr>
              <w:pStyle w:val="0"/>
            </w:pPr>
            <w:r>
              <w:rPr>
                <w:sz w:val="20"/>
              </w:rPr>
              <w:t xml:space="preserve">Средства массовой информации</w:t>
            </w:r>
          </w:p>
        </w:tc>
        <w:tc>
          <w:tcPr>
            <w:tcW w:w="1699" w:type="dxa"/>
          </w:tcPr>
          <w:p>
            <w:pPr>
              <w:pStyle w:val="0"/>
              <w:jc w:val="center"/>
            </w:pPr>
            <w:r>
              <w:rPr>
                <w:sz w:val="20"/>
              </w:rPr>
              <w:t xml:space="preserve">23340,5</w:t>
            </w:r>
          </w:p>
        </w:tc>
        <w:tc>
          <w:tcPr>
            <w:tcW w:w="1699" w:type="dxa"/>
          </w:tcPr>
          <w:p>
            <w:pPr>
              <w:pStyle w:val="0"/>
              <w:jc w:val="center"/>
            </w:pPr>
            <w:r>
              <w:rPr>
                <w:sz w:val="20"/>
              </w:rPr>
              <w:t xml:space="preserve">23340,5</w:t>
            </w:r>
          </w:p>
        </w:tc>
        <w:tc>
          <w:tcPr>
            <w:tcW w:w="1700" w:type="dxa"/>
          </w:tcPr>
          <w:p>
            <w:pPr>
              <w:pStyle w:val="0"/>
              <w:jc w:val="center"/>
            </w:pPr>
            <w:r>
              <w:rPr>
                <w:sz w:val="20"/>
              </w:rPr>
              <w:t xml:space="preserve">23340,5</w:t>
            </w:r>
          </w:p>
        </w:tc>
      </w:tr>
      <w:tr>
        <w:tc>
          <w:tcPr>
            <w:tcW w:w="850" w:type="dxa"/>
          </w:tcPr>
          <w:p>
            <w:pPr>
              <w:pStyle w:val="0"/>
              <w:jc w:val="center"/>
            </w:pPr>
            <w:r>
              <w:rPr>
                <w:sz w:val="20"/>
              </w:rPr>
              <w:t xml:space="preserve">1300</w:t>
            </w:r>
          </w:p>
        </w:tc>
        <w:tc>
          <w:tcPr>
            <w:tcW w:w="3118" w:type="dxa"/>
          </w:tcPr>
          <w:p>
            <w:pPr>
              <w:pStyle w:val="0"/>
            </w:pPr>
            <w:r>
              <w:rPr>
                <w:sz w:val="20"/>
              </w:rPr>
              <w:t xml:space="preserve">Обслуживание государственного и муниципального долга</w:t>
            </w:r>
          </w:p>
        </w:tc>
        <w:tc>
          <w:tcPr>
            <w:tcW w:w="1699" w:type="dxa"/>
          </w:tcPr>
          <w:p>
            <w:pPr>
              <w:pStyle w:val="0"/>
              <w:jc w:val="center"/>
            </w:pPr>
            <w:r>
              <w:rPr>
                <w:sz w:val="20"/>
              </w:rPr>
              <w:t xml:space="preserve">35588,8</w:t>
            </w:r>
          </w:p>
        </w:tc>
        <w:tc>
          <w:tcPr>
            <w:tcW w:w="1699" w:type="dxa"/>
          </w:tcPr>
          <w:p>
            <w:pPr>
              <w:pStyle w:val="0"/>
              <w:jc w:val="center"/>
            </w:pPr>
            <w:r>
              <w:rPr>
                <w:sz w:val="20"/>
              </w:rPr>
              <w:t xml:space="preserve">37101,4</w:t>
            </w:r>
          </w:p>
        </w:tc>
        <w:tc>
          <w:tcPr>
            <w:tcW w:w="1700" w:type="dxa"/>
          </w:tcPr>
          <w:p>
            <w:pPr>
              <w:pStyle w:val="0"/>
              <w:jc w:val="center"/>
            </w:pPr>
            <w:r>
              <w:rPr>
                <w:sz w:val="20"/>
              </w:rPr>
              <w:t xml:space="preserve">37101,4</w:t>
            </w:r>
          </w:p>
        </w:tc>
      </w:tr>
      <w:tr>
        <w:tc>
          <w:tcPr>
            <w:tcW w:w="850" w:type="dxa"/>
          </w:tcPr>
          <w:p>
            <w:pPr>
              <w:pStyle w:val="0"/>
              <w:jc w:val="center"/>
            </w:pPr>
            <w:r>
              <w:rPr>
                <w:sz w:val="20"/>
              </w:rPr>
              <w:t xml:space="preserve">1400</w:t>
            </w:r>
          </w:p>
        </w:tc>
        <w:tc>
          <w:tcPr>
            <w:tcW w:w="3118"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1699" w:type="dxa"/>
          </w:tcPr>
          <w:p>
            <w:pPr>
              <w:pStyle w:val="0"/>
              <w:jc w:val="center"/>
            </w:pPr>
            <w:r>
              <w:rPr>
                <w:sz w:val="20"/>
              </w:rPr>
              <w:t xml:space="preserve">3953760,0</w:t>
            </w:r>
          </w:p>
        </w:tc>
        <w:tc>
          <w:tcPr>
            <w:tcW w:w="1699" w:type="dxa"/>
          </w:tcPr>
          <w:p>
            <w:pPr>
              <w:pStyle w:val="0"/>
              <w:jc w:val="center"/>
            </w:pPr>
            <w:r>
              <w:rPr>
                <w:sz w:val="20"/>
              </w:rPr>
              <w:t xml:space="preserve">3635734,4</w:t>
            </w:r>
          </w:p>
        </w:tc>
        <w:tc>
          <w:tcPr>
            <w:tcW w:w="1700" w:type="dxa"/>
          </w:tcPr>
          <w:p>
            <w:pPr>
              <w:pStyle w:val="0"/>
              <w:jc w:val="center"/>
            </w:pPr>
            <w:r>
              <w:rPr>
                <w:sz w:val="20"/>
              </w:rPr>
              <w:t xml:space="preserve">3649134,4</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4164039,0</w:t>
            </w:r>
          </w:p>
        </w:tc>
        <w:tc>
          <w:tcPr>
            <w:tcW w:w="1699" w:type="dxa"/>
          </w:tcPr>
          <w:p>
            <w:pPr>
              <w:pStyle w:val="0"/>
              <w:jc w:val="center"/>
            </w:pPr>
            <w:r>
              <w:rPr>
                <w:sz w:val="20"/>
              </w:rPr>
              <w:t xml:space="preserve">3835734,4</w:t>
            </w:r>
          </w:p>
        </w:tc>
        <w:tc>
          <w:tcPr>
            <w:tcW w:w="1700" w:type="dxa"/>
          </w:tcPr>
          <w:p>
            <w:pPr>
              <w:pStyle w:val="0"/>
              <w:jc w:val="center"/>
            </w:pPr>
            <w:r>
              <w:rPr>
                <w:sz w:val="20"/>
              </w:rPr>
              <w:t xml:space="preserve">3849134,4</w:t>
            </w:r>
          </w:p>
        </w:tc>
      </w:tr>
      <w:tr>
        <w:tc>
          <w:tcPr>
            <w:tcW w:w="850" w:type="dxa"/>
          </w:tcPr>
          <w:p>
            <w:pPr>
              <w:pStyle w:val="0"/>
            </w:pPr>
            <w:r>
              <w:rPr>
                <w:sz w:val="20"/>
              </w:rPr>
            </w:r>
          </w:p>
        </w:tc>
        <w:tc>
          <w:tcPr>
            <w:tcW w:w="3118" w:type="dxa"/>
          </w:tcPr>
          <w:p>
            <w:pPr>
              <w:pStyle w:val="0"/>
            </w:pPr>
            <w:r>
              <w:rPr>
                <w:sz w:val="20"/>
              </w:rPr>
              <w:t xml:space="preserve">дотации</w:t>
            </w:r>
          </w:p>
        </w:tc>
        <w:tc>
          <w:tcPr>
            <w:tcW w:w="1699" w:type="dxa"/>
          </w:tcPr>
          <w:p>
            <w:pPr>
              <w:pStyle w:val="0"/>
              <w:jc w:val="center"/>
            </w:pPr>
            <w:r>
              <w:rPr>
                <w:sz w:val="20"/>
              </w:rPr>
              <w:t xml:space="preserve">3722608,0</w:t>
            </w:r>
          </w:p>
        </w:tc>
        <w:tc>
          <w:tcPr>
            <w:tcW w:w="1699" w:type="dxa"/>
          </w:tcPr>
          <w:p>
            <w:pPr>
              <w:pStyle w:val="0"/>
              <w:jc w:val="center"/>
            </w:pPr>
            <w:r>
              <w:rPr>
                <w:sz w:val="20"/>
              </w:rPr>
              <w:t xml:space="preserve">3387271,0</w:t>
            </w:r>
          </w:p>
        </w:tc>
        <w:tc>
          <w:tcPr>
            <w:tcW w:w="1700" w:type="dxa"/>
          </w:tcPr>
          <w:p>
            <w:pPr>
              <w:pStyle w:val="0"/>
              <w:jc w:val="center"/>
            </w:pPr>
            <w:r>
              <w:rPr>
                <w:sz w:val="20"/>
              </w:rPr>
              <w:t xml:space="preserve">3387271,0</w:t>
            </w:r>
          </w:p>
        </w:tc>
      </w:tr>
      <w:tr>
        <w:tc>
          <w:tcPr>
            <w:tcW w:w="850" w:type="dxa"/>
          </w:tcPr>
          <w:p>
            <w:pPr>
              <w:pStyle w:val="0"/>
            </w:pPr>
            <w:r>
              <w:rPr>
                <w:sz w:val="20"/>
              </w:rPr>
            </w:r>
          </w:p>
        </w:tc>
        <w:tc>
          <w:tcPr>
            <w:tcW w:w="3118" w:type="dxa"/>
          </w:tcPr>
          <w:p>
            <w:pPr>
              <w:pStyle w:val="0"/>
            </w:pPr>
            <w:r>
              <w:rPr>
                <w:sz w:val="20"/>
              </w:rPr>
              <w:t xml:space="preserve">субсидии</w:t>
            </w:r>
          </w:p>
        </w:tc>
        <w:tc>
          <w:tcPr>
            <w:tcW w:w="1699" w:type="dxa"/>
          </w:tcPr>
          <w:p>
            <w:pPr>
              <w:pStyle w:val="0"/>
              <w:jc w:val="center"/>
            </w:pPr>
            <w:r>
              <w:rPr>
                <w:sz w:val="20"/>
              </w:rPr>
              <w:t xml:space="preserve">103758,5</w:t>
            </w:r>
          </w:p>
        </w:tc>
        <w:tc>
          <w:tcPr>
            <w:tcW w:w="1699" w:type="dxa"/>
          </w:tcPr>
          <w:p>
            <w:pPr>
              <w:pStyle w:val="0"/>
              <w:jc w:val="center"/>
            </w:pPr>
            <w:r>
              <w:rPr>
                <w:sz w:val="20"/>
              </w:rPr>
              <w:t xml:space="preserve">110790,9</w:t>
            </w:r>
          </w:p>
        </w:tc>
        <w:tc>
          <w:tcPr>
            <w:tcW w:w="1700" w:type="dxa"/>
          </w:tcPr>
          <w:p>
            <w:pPr>
              <w:pStyle w:val="0"/>
              <w:jc w:val="center"/>
            </w:pPr>
            <w:r>
              <w:rPr>
                <w:sz w:val="20"/>
              </w:rPr>
              <w:t xml:space="preserve">124190,9</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327750,0</w:t>
            </w:r>
          </w:p>
        </w:tc>
        <w:tc>
          <w:tcPr>
            <w:tcW w:w="1699" w:type="dxa"/>
          </w:tcPr>
          <w:p>
            <w:pPr>
              <w:pStyle w:val="0"/>
              <w:jc w:val="center"/>
            </w:pPr>
            <w:r>
              <w:rPr>
                <w:sz w:val="20"/>
              </w:rPr>
              <w:t xml:space="preserve">327750,0</w:t>
            </w:r>
          </w:p>
        </w:tc>
        <w:tc>
          <w:tcPr>
            <w:tcW w:w="1700" w:type="dxa"/>
          </w:tcPr>
          <w:p>
            <w:pPr>
              <w:pStyle w:val="0"/>
              <w:jc w:val="center"/>
            </w:pPr>
            <w:r>
              <w:rPr>
                <w:sz w:val="20"/>
              </w:rPr>
              <w:t xml:space="preserve">327750,0</w:t>
            </w:r>
          </w:p>
        </w:tc>
      </w:tr>
      <w:tr>
        <w:tc>
          <w:tcPr>
            <w:tcW w:w="850" w:type="dxa"/>
          </w:tcPr>
          <w:p>
            <w:pPr>
              <w:pStyle w:val="0"/>
            </w:pPr>
            <w:r>
              <w:rPr>
                <w:sz w:val="20"/>
              </w:rPr>
            </w:r>
          </w:p>
        </w:tc>
        <w:tc>
          <w:tcPr>
            <w:tcW w:w="3118" w:type="dxa"/>
          </w:tcPr>
          <w:p>
            <w:pPr>
              <w:pStyle w:val="0"/>
            </w:pPr>
            <w:r>
              <w:rPr>
                <w:sz w:val="20"/>
              </w:rPr>
              <w:t xml:space="preserve">иные межбюджетные трансферты</w:t>
            </w:r>
          </w:p>
        </w:tc>
        <w:tc>
          <w:tcPr>
            <w:tcW w:w="1699" w:type="dxa"/>
          </w:tcPr>
          <w:p>
            <w:pPr>
              <w:pStyle w:val="0"/>
              <w:jc w:val="center"/>
            </w:pPr>
            <w:r>
              <w:rPr>
                <w:sz w:val="20"/>
              </w:rPr>
              <w:t xml:space="preserve">9922,5</w:t>
            </w:r>
          </w:p>
        </w:tc>
        <w:tc>
          <w:tcPr>
            <w:tcW w:w="1699" w:type="dxa"/>
          </w:tcPr>
          <w:p>
            <w:pPr>
              <w:pStyle w:val="0"/>
              <w:jc w:val="center"/>
            </w:pPr>
            <w:r>
              <w:rPr>
                <w:sz w:val="20"/>
              </w:rPr>
              <w:t xml:space="preserve">9922,5</w:t>
            </w:r>
          </w:p>
        </w:tc>
        <w:tc>
          <w:tcPr>
            <w:tcW w:w="1700" w:type="dxa"/>
          </w:tcPr>
          <w:p>
            <w:pPr>
              <w:pStyle w:val="0"/>
              <w:jc w:val="center"/>
            </w:pPr>
            <w:r>
              <w:rPr>
                <w:sz w:val="20"/>
              </w:rPr>
              <w:t xml:space="preserve">9922,5</w:t>
            </w:r>
          </w:p>
        </w:tc>
      </w:tr>
      <w:tr>
        <w:tc>
          <w:tcPr>
            <w:tcW w:w="850" w:type="dxa"/>
          </w:tcPr>
          <w:p>
            <w:pPr>
              <w:pStyle w:val="0"/>
            </w:pPr>
            <w:r>
              <w:rPr>
                <w:sz w:val="20"/>
              </w:rPr>
            </w:r>
          </w:p>
        </w:tc>
        <w:tc>
          <w:tcPr>
            <w:tcW w:w="3118" w:type="dxa"/>
          </w:tcPr>
          <w:p>
            <w:pPr>
              <w:pStyle w:val="0"/>
            </w:pPr>
            <w:r>
              <w:rPr>
                <w:sz w:val="20"/>
              </w:rPr>
              <w:t xml:space="preserve">ИТОГО РАСХОДОВ</w:t>
            </w:r>
          </w:p>
        </w:tc>
        <w:tc>
          <w:tcPr>
            <w:tcW w:w="1699" w:type="dxa"/>
          </w:tcPr>
          <w:p>
            <w:pPr>
              <w:pStyle w:val="0"/>
              <w:jc w:val="center"/>
            </w:pPr>
            <w:r>
              <w:rPr>
                <w:sz w:val="20"/>
              </w:rPr>
              <w:t xml:space="preserve">64832738,3</w:t>
            </w:r>
          </w:p>
        </w:tc>
        <w:tc>
          <w:tcPr>
            <w:tcW w:w="1699" w:type="dxa"/>
          </w:tcPr>
          <w:p>
            <w:pPr>
              <w:pStyle w:val="0"/>
              <w:jc w:val="center"/>
            </w:pPr>
            <w:r>
              <w:rPr>
                <w:sz w:val="20"/>
              </w:rPr>
              <w:t xml:space="preserve">65004724,7</w:t>
            </w:r>
          </w:p>
        </w:tc>
        <w:tc>
          <w:tcPr>
            <w:tcW w:w="1700" w:type="dxa"/>
          </w:tcPr>
          <w:p>
            <w:pPr>
              <w:pStyle w:val="0"/>
              <w:jc w:val="center"/>
            </w:pPr>
            <w:r>
              <w:rPr>
                <w:sz w:val="20"/>
              </w:rPr>
              <w:t xml:space="preserve">64444034,2</w:t>
            </w:r>
          </w:p>
        </w:tc>
      </w:tr>
      <w:tr>
        <w:tc>
          <w:tcPr>
            <w:tcW w:w="850" w:type="dxa"/>
          </w:tcPr>
          <w:p>
            <w:pPr>
              <w:pStyle w:val="0"/>
            </w:pPr>
            <w:r>
              <w:rPr>
                <w:sz w:val="20"/>
              </w:rPr>
            </w:r>
          </w:p>
        </w:tc>
        <w:tc>
          <w:tcPr>
            <w:tcW w:w="3118" w:type="dxa"/>
          </w:tcPr>
          <w:p>
            <w:pPr>
              <w:pStyle w:val="0"/>
            </w:pPr>
            <w:r>
              <w:rPr>
                <w:sz w:val="20"/>
              </w:rPr>
              <w:t xml:space="preserve">в том числе межбюджетные трансферты муниципальным образованиям:</w:t>
            </w:r>
          </w:p>
        </w:tc>
        <w:tc>
          <w:tcPr>
            <w:tcW w:w="1699" w:type="dxa"/>
          </w:tcPr>
          <w:p>
            <w:pPr>
              <w:pStyle w:val="0"/>
              <w:jc w:val="center"/>
            </w:pPr>
            <w:r>
              <w:rPr>
                <w:sz w:val="20"/>
              </w:rPr>
              <w:t xml:space="preserve">22039673,8</w:t>
            </w:r>
          </w:p>
        </w:tc>
        <w:tc>
          <w:tcPr>
            <w:tcW w:w="1699" w:type="dxa"/>
          </w:tcPr>
          <w:p>
            <w:pPr>
              <w:pStyle w:val="0"/>
              <w:jc w:val="center"/>
            </w:pPr>
            <w:r>
              <w:rPr>
                <w:sz w:val="20"/>
              </w:rPr>
              <w:t xml:space="preserve">22136544,5</w:t>
            </w:r>
          </w:p>
        </w:tc>
        <w:tc>
          <w:tcPr>
            <w:tcW w:w="1700" w:type="dxa"/>
          </w:tcPr>
          <w:p>
            <w:pPr>
              <w:pStyle w:val="0"/>
              <w:jc w:val="center"/>
            </w:pPr>
            <w:r>
              <w:rPr>
                <w:sz w:val="20"/>
              </w:rPr>
              <w:t xml:space="preserve">21426004,1</w:t>
            </w:r>
          </w:p>
        </w:tc>
      </w:tr>
      <w:tr>
        <w:tc>
          <w:tcPr>
            <w:tcW w:w="850" w:type="dxa"/>
          </w:tcPr>
          <w:p>
            <w:pPr>
              <w:pStyle w:val="0"/>
            </w:pPr>
            <w:r>
              <w:rPr>
                <w:sz w:val="20"/>
              </w:rPr>
            </w:r>
          </w:p>
        </w:tc>
        <w:tc>
          <w:tcPr>
            <w:tcW w:w="3118" w:type="dxa"/>
          </w:tcPr>
          <w:p>
            <w:pPr>
              <w:pStyle w:val="0"/>
            </w:pPr>
            <w:r>
              <w:rPr>
                <w:sz w:val="20"/>
              </w:rPr>
              <w:t xml:space="preserve">дотации</w:t>
            </w:r>
          </w:p>
        </w:tc>
        <w:tc>
          <w:tcPr>
            <w:tcW w:w="1699" w:type="dxa"/>
          </w:tcPr>
          <w:p>
            <w:pPr>
              <w:pStyle w:val="0"/>
              <w:jc w:val="center"/>
            </w:pPr>
            <w:r>
              <w:rPr>
                <w:sz w:val="20"/>
              </w:rPr>
              <w:t xml:space="preserve">3722608,0</w:t>
            </w:r>
          </w:p>
        </w:tc>
        <w:tc>
          <w:tcPr>
            <w:tcW w:w="1699" w:type="dxa"/>
          </w:tcPr>
          <w:p>
            <w:pPr>
              <w:pStyle w:val="0"/>
              <w:jc w:val="center"/>
            </w:pPr>
            <w:r>
              <w:rPr>
                <w:sz w:val="20"/>
              </w:rPr>
              <w:t xml:space="preserve">3387271,0</w:t>
            </w:r>
          </w:p>
        </w:tc>
        <w:tc>
          <w:tcPr>
            <w:tcW w:w="1700" w:type="dxa"/>
          </w:tcPr>
          <w:p>
            <w:pPr>
              <w:pStyle w:val="0"/>
              <w:jc w:val="center"/>
            </w:pPr>
            <w:r>
              <w:rPr>
                <w:sz w:val="20"/>
              </w:rPr>
              <w:t xml:space="preserve">3387271,0</w:t>
            </w:r>
          </w:p>
        </w:tc>
      </w:tr>
      <w:tr>
        <w:tc>
          <w:tcPr>
            <w:tcW w:w="850" w:type="dxa"/>
          </w:tcPr>
          <w:p>
            <w:pPr>
              <w:pStyle w:val="0"/>
            </w:pPr>
            <w:r>
              <w:rPr>
                <w:sz w:val="20"/>
              </w:rPr>
            </w:r>
          </w:p>
        </w:tc>
        <w:tc>
          <w:tcPr>
            <w:tcW w:w="3118" w:type="dxa"/>
          </w:tcPr>
          <w:p>
            <w:pPr>
              <w:pStyle w:val="0"/>
            </w:pPr>
            <w:r>
              <w:rPr>
                <w:sz w:val="20"/>
              </w:rPr>
              <w:t xml:space="preserve">субсидии</w:t>
            </w:r>
          </w:p>
        </w:tc>
        <w:tc>
          <w:tcPr>
            <w:tcW w:w="1699" w:type="dxa"/>
          </w:tcPr>
          <w:p>
            <w:pPr>
              <w:pStyle w:val="0"/>
              <w:jc w:val="center"/>
            </w:pPr>
            <w:r>
              <w:rPr>
                <w:sz w:val="20"/>
              </w:rPr>
              <w:t xml:space="preserve">5901887,9</w:t>
            </w:r>
          </w:p>
        </w:tc>
        <w:tc>
          <w:tcPr>
            <w:tcW w:w="1699" w:type="dxa"/>
          </w:tcPr>
          <w:p>
            <w:pPr>
              <w:pStyle w:val="0"/>
              <w:jc w:val="center"/>
            </w:pPr>
            <w:r>
              <w:rPr>
                <w:sz w:val="20"/>
              </w:rPr>
              <w:t xml:space="preserve">6632632,4</w:t>
            </w:r>
          </w:p>
        </w:tc>
        <w:tc>
          <w:tcPr>
            <w:tcW w:w="1700" w:type="dxa"/>
          </w:tcPr>
          <w:p>
            <w:pPr>
              <w:pStyle w:val="0"/>
              <w:jc w:val="center"/>
            </w:pPr>
            <w:r>
              <w:rPr>
                <w:sz w:val="20"/>
              </w:rPr>
              <w:t xml:space="preserve">5914982,0</w:t>
            </w:r>
          </w:p>
        </w:tc>
      </w:tr>
      <w:tr>
        <w:tc>
          <w:tcPr>
            <w:tcW w:w="850" w:type="dxa"/>
          </w:tcPr>
          <w:p>
            <w:pPr>
              <w:pStyle w:val="0"/>
            </w:pPr>
            <w:r>
              <w:rPr>
                <w:sz w:val="20"/>
              </w:rPr>
            </w:r>
          </w:p>
        </w:tc>
        <w:tc>
          <w:tcPr>
            <w:tcW w:w="3118" w:type="dxa"/>
          </w:tcPr>
          <w:p>
            <w:pPr>
              <w:pStyle w:val="0"/>
            </w:pPr>
            <w:r>
              <w:rPr>
                <w:sz w:val="20"/>
              </w:rPr>
              <w:t xml:space="preserve">субвенции</w:t>
            </w:r>
          </w:p>
        </w:tc>
        <w:tc>
          <w:tcPr>
            <w:tcW w:w="1699" w:type="dxa"/>
          </w:tcPr>
          <w:p>
            <w:pPr>
              <w:pStyle w:val="0"/>
              <w:jc w:val="center"/>
            </w:pPr>
            <w:r>
              <w:rPr>
                <w:sz w:val="20"/>
              </w:rPr>
              <w:t xml:space="preserve">11483316,2</w:t>
            </w:r>
          </w:p>
        </w:tc>
        <w:tc>
          <w:tcPr>
            <w:tcW w:w="1699" w:type="dxa"/>
          </w:tcPr>
          <w:p>
            <w:pPr>
              <w:pStyle w:val="0"/>
              <w:jc w:val="center"/>
            </w:pPr>
            <w:r>
              <w:rPr>
                <w:sz w:val="20"/>
              </w:rPr>
              <w:t xml:space="preserve">11487420,4</w:t>
            </w:r>
          </w:p>
        </w:tc>
        <w:tc>
          <w:tcPr>
            <w:tcW w:w="1700" w:type="dxa"/>
          </w:tcPr>
          <w:p>
            <w:pPr>
              <w:pStyle w:val="0"/>
              <w:jc w:val="center"/>
            </w:pPr>
            <w:r>
              <w:rPr>
                <w:sz w:val="20"/>
              </w:rPr>
              <w:t xml:space="preserve">11487420,4</w:t>
            </w:r>
          </w:p>
        </w:tc>
      </w:tr>
      <w:tr>
        <w:tc>
          <w:tcPr>
            <w:tcW w:w="850" w:type="dxa"/>
          </w:tcPr>
          <w:p>
            <w:pPr>
              <w:pStyle w:val="0"/>
            </w:pPr>
            <w:r>
              <w:rPr>
                <w:sz w:val="20"/>
              </w:rPr>
            </w:r>
          </w:p>
        </w:tc>
        <w:tc>
          <w:tcPr>
            <w:tcW w:w="3118" w:type="dxa"/>
          </w:tcPr>
          <w:p>
            <w:pPr>
              <w:pStyle w:val="0"/>
            </w:pPr>
            <w:r>
              <w:rPr>
                <w:sz w:val="20"/>
              </w:rPr>
              <w:t xml:space="preserve">иные межбюджетные трансферты</w:t>
            </w:r>
          </w:p>
        </w:tc>
        <w:tc>
          <w:tcPr>
            <w:tcW w:w="1699" w:type="dxa"/>
          </w:tcPr>
          <w:p>
            <w:pPr>
              <w:pStyle w:val="0"/>
              <w:jc w:val="center"/>
            </w:pPr>
            <w:r>
              <w:rPr>
                <w:sz w:val="20"/>
              </w:rPr>
              <w:t xml:space="preserve">931861,7</w:t>
            </w:r>
          </w:p>
        </w:tc>
        <w:tc>
          <w:tcPr>
            <w:tcW w:w="1699" w:type="dxa"/>
          </w:tcPr>
          <w:p>
            <w:pPr>
              <w:pStyle w:val="0"/>
              <w:jc w:val="center"/>
            </w:pPr>
            <w:r>
              <w:rPr>
                <w:sz w:val="20"/>
              </w:rPr>
              <w:t xml:space="preserve">629220,7</w:t>
            </w:r>
          </w:p>
        </w:tc>
        <w:tc>
          <w:tcPr>
            <w:tcW w:w="1700" w:type="dxa"/>
          </w:tcPr>
          <w:p>
            <w:pPr>
              <w:pStyle w:val="0"/>
              <w:jc w:val="center"/>
            </w:pPr>
            <w:r>
              <w:rPr>
                <w:sz w:val="20"/>
              </w:rPr>
              <w:t xml:space="preserve">636330,7</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7</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07.07.2020 N 523-р</w:t>
      </w:r>
    </w:p>
    <w:p>
      <w:pPr>
        <w:pStyle w:val="0"/>
        <w:jc w:val="both"/>
      </w:pPr>
      <w:r>
        <w:rPr>
          <w:sz w:val="20"/>
        </w:rPr>
      </w:r>
    </w:p>
    <w:bookmarkStart w:id="1343" w:name="P1343"/>
    <w:bookmarkEnd w:id="1343"/>
    <w:p>
      <w:pPr>
        <w:pStyle w:val="2"/>
        <w:jc w:val="center"/>
      </w:pPr>
      <w:r>
        <w:rPr>
          <w:sz w:val="20"/>
        </w:rPr>
        <w:t xml:space="preserve">РАСПРЕДЕЛЕНИЕ</w:t>
      </w:r>
    </w:p>
    <w:p>
      <w:pPr>
        <w:pStyle w:val="2"/>
        <w:jc w:val="center"/>
      </w:pPr>
      <w:r>
        <w:rPr>
          <w:sz w:val="20"/>
        </w:rPr>
        <w:t xml:space="preserve">БЮДЖЕТНЫХ АССИГНОВАНИЙ НА ИСПОЛНЕНИЕ ВНОВЬ ПРИНИМАЕМЫХ</w:t>
      </w:r>
    </w:p>
    <w:p>
      <w:pPr>
        <w:pStyle w:val="2"/>
        <w:jc w:val="center"/>
      </w:pPr>
      <w:r>
        <w:rPr>
          <w:sz w:val="20"/>
        </w:rPr>
        <w:t xml:space="preserve">ОБЯЗАТЕЛЬСТВ ВЛАДИМИРСКОЙ ОБЛАСТИ НА 2021 ГОД</w:t>
      </w:r>
    </w:p>
    <w:p>
      <w:pPr>
        <w:pStyle w:val="2"/>
        <w:jc w:val="center"/>
      </w:pPr>
      <w:r>
        <w:rPr>
          <w:sz w:val="20"/>
        </w:rPr>
        <w:t xml:space="preserve">И НА ПЛАНОВЫЙ ПЕРИОД 2022 И 2023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3572"/>
        <w:gridCol w:w="1644"/>
        <w:gridCol w:w="1644"/>
        <w:gridCol w:w="1644"/>
      </w:tblGrid>
      <w:tr>
        <w:tc>
          <w:tcPr>
            <w:tcW w:w="566" w:type="dxa"/>
            <w:vMerge w:val="restart"/>
          </w:tcPr>
          <w:p>
            <w:pPr>
              <w:pStyle w:val="0"/>
              <w:jc w:val="center"/>
            </w:pPr>
            <w:r>
              <w:rPr>
                <w:sz w:val="20"/>
              </w:rPr>
              <w:t xml:space="preserve">N</w:t>
            </w:r>
          </w:p>
          <w:p>
            <w:pPr>
              <w:pStyle w:val="0"/>
              <w:jc w:val="center"/>
            </w:pPr>
            <w:r>
              <w:rPr>
                <w:sz w:val="20"/>
              </w:rPr>
              <w:t xml:space="preserve">п/п</w:t>
            </w:r>
          </w:p>
        </w:tc>
        <w:tc>
          <w:tcPr>
            <w:tcW w:w="3572" w:type="dxa"/>
            <w:vMerge w:val="restart"/>
          </w:tcPr>
          <w:p>
            <w:pPr>
              <w:pStyle w:val="0"/>
              <w:jc w:val="center"/>
            </w:pPr>
            <w:r>
              <w:rPr>
                <w:sz w:val="20"/>
              </w:rPr>
              <w:t xml:space="preserve">Направление расходов</w:t>
            </w:r>
          </w:p>
        </w:tc>
        <w:tc>
          <w:tcPr>
            <w:gridSpan w:val="3"/>
            <w:tcW w:w="4932" w:type="dxa"/>
          </w:tcPr>
          <w:p>
            <w:pPr>
              <w:pStyle w:val="0"/>
              <w:jc w:val="center"/>
            </w:pPr>
            <w:r>
              <w:rPr>
                <w:sz w:val="20"/>
              </w:rPr>
              <w:t xml:space="preserve">Предельные объемы в тыс. рублей</w:t>
            </w:r>
          </w:p>
        </w:tc>
      </w:tr>
      <w:tr>
        <w:tc>
          <w:tcPr>
            <w:vMerge w:val="continue"/>
          </w:tcPr>
          <w:p/>
        </w:tc>
        <w:tc>
          <w:tcPr>
            <w:vMerge w:val="continue"/>
          </w:tcPr>
          <w:p/>
        </w:tc>
        <w:tc>
          <w:tcPr>
            <w:tcW w:w="1644" w:type="dxa"/>
          </w:tcPr>
          <w:p>
            <w:pPr>
              <w:pStyle w:val="0"/>
              <w:jc w:val="center"/>
            </w:pPr>
            <w:r>
              <w:rPr>
                <w:sz w:val="20"/>
              </w:rPr>
              <w:t xml:space="preserve">2021 год</w:t>
            </w: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r>
      <w:tr>
        <w:tc>
          <w:tcPr>
            <w:tcW w:w="566" w:type="dxa"/>
          </w:tcPr>
          <w:p>
            <w:pPr>
              <w:pStyle w:val="0"/>
              <w:jc w:val="center"/>
            </w:pPr>
            <w:r>
              <w:rPr>
                <w:sz w:val="20"/>
              </w:rPr>
              <w:t xml:space="preserve">1.</w:t>
            </w:r>
          </w:p>
        </w:tc>
        <w:tc>
          <w:tcPr>
            <w:tcW w:w="3572" w:type="dxa"/>
          </w:tcPr>
          <w:p>
            <w:pPr>
              <w:pStyle w:val="0"/>
            </w:pPr>
            <w:r>
              <w:rPr>
                <w:sz w:val="20"/>
              </w:rPr>
              <w:t xml:space="preserve">Индексация социальных выплат на уровень не ниже инфляции</w:t>
            </w:r>
          </w:p>
        </w:tc>
        <w:tc>
          <w:tcPr>
            <w:tcW w:w="1644" w:type="dxa"/>
          </w:tcPr>
          <w:p>
            <w:pPr>
              <w:pStyle w:val="0"/>
              <w:jc w:val="center"/>
            </w:pPr>
            <w:r>
              <w:rPr>
                <w:sz w:val="20"/>
              </w:rPr>
              <w:t xml:space="preserve">337825,1</w:t>
            </w:r>
          </w:p>
        </w:tc>
        <w:tc>
          <w:tcPr>
            <w:tcW w:w="1644" w:type="dxa"/>
          </w:tcPr>
          <w:p>
            <w:pPr>
              <w:pStyle w:val="0"/>
              <w:jc w:val="center"/>
            </w:pPr>
            <w:r>
              <w:rPr>
                <w:sz w:val="20"/>
              </w:rPr>
              <w:t xml:space="preserve">341356,2</w:t>
            </w:r>
          </w:p>
        </w:tc>
        <w:tc>
          <w:tcPr>
            <w:tcW w:w="1644" w:type="dxa"/>
          </w:tcPr>
          <w:p>
            <w:pPr>
              <w:pStyle w:val="0"/>
              <w:jc w:val="center"/>
            </w:pPr>
            <w:r>
              <w:rPr>
                <w:sz w:val="20"/>
              </w:rPr>
              <w:t xml:space="preserve">341356,2</w:t>
            </w:r>
          </w:p>
        </w:tc>
      </w:tr>
      <w:tr>
        <w:tc>
          <w:tcPr>
            <w:tcW w:w="566" w:type="dxa"/>
          </w:tcPr>
          <w:p>
            <w:pPr>
              <w:pStyle w:val="0"/>
              <w:jc w:val="center"/>
            </w:pPr>
            <w:r>
              <w:rPr>
                <w:sz w:val="20"/>
              </w:rPr>
              <w:t xml:space="preserve">2.</w:t>
            </w:r>
          </w:p>
        </w:tc>
        <w:tc>
          <w:tcPr>
            <w:tcW w:w="3572" w:type="dxa"/>
          </w:tcPr>
          <w:p>
            <w:pPr>
              <w:pStyle w:val="0"/>
            </w:pPr>
            <w:r>
              <w:rPr>
                <w:sz w:val="20"/>
              </w:rPr>
              <w:t xml:space="preserve">Укрепление материально-технической базы государственных учреждений здравоохранения</w:t>
            </w:r>
          </w:p>
        </w:tc>
        <w:tc>
          <w:tcPr>
            <w:tcW w:w="1644" w:type="dxa"/>
          </w:tcPr>
          <w:p>
            <w:pPr>
              <w:pStyle w:val="0"/>
              <w:jc w:val="center"/>
            </w:pPr>
            <w:r>
              <w:rPr>
                <w:sz w:val="20"/>
              </w:rPr>
              <w:t xml:space="preserve">1644738,1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566" w:type="dxa"/>
          </w:tcPr>
          <w:p>
            <w:pPr>
              <w:pStyle w:val="0"/>
              <w:jc w:val="center"/>
            </w:pPr>
            <w:r>
              <w:rPr>
                <w:sz w:val="20"/>
              </w:rPr>
              <w:t xml:space="preserve">3.</w:t>
            </w:r>
          </w:p>
        </w:tc>
        <w:tc>
          <w:tcPr>
            <w:tcW w:w="3572" w:type="dxa"/>
          </w:tcPr>
          <w:p>
            <w:pPr>
              <w:pStyle w:val="0"/>
            </w:pPr>
            <w:r>
              <w:rPr>
                <w:sz w:val="20"/>
              </w:rPr>
              <w:t xml:space="preserve">Резерв на обязательное медицинское страхование за неработающее население в связи с изменением численности</w:t>
            </w:r>
          </w:p>
        </w:tc>
        <w:tc>
          <w:tcPr>
            <w:tcW w:w="1644" w:type="dxa"/>
          </w:tcPr>
          <w:p>
            <w:pPr>
              <w:pStyle w:val="0"/>
              <w:jc w:val="center"/>
            </w:pPr>
            <w:r>
              <w:rPr>
                <w:sz w:val="20"/>
              </w:rPr>
              <w:t xml:space="preserve">452383,8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566" w:type="dxa"/>
          </w:tcPr>
          <w:p>
            <w:pPr>
              <w:pStyle w:val="0"/>
              <w:jc w:val="center"/>
            </w:pPr>
            <w:r>
              <w:rPr>
                <w:sz w:val="20"/>
              </w:rPr>
              <w:t xml:space="preserve">4.</w:t>
            </w:r>
          </w:p>
        </w:tc>
        <w:tc>
          <w:tcPr>
            <w:tcW w:w="3572" w:type="dxa"/>
          </w:tcPr>
          <w:p>
            <w:pPr>
              <w:pStyle w:val="0"/>
            </w:pPr>
            <w:r>
              <w:rPr>
                <w:sz w:val="20"/>
              </w:rPr>
              <w:t xml:space="preserve">Резерв средств на участие Владимирской области в реализации государственных программ Российской Федерации, национальных и федеральных проектов</w:t>
            </w:r>
          </w:p>
        </w:tc>
        <w:tc>
          <w:tcPr>
            <w:tcW w:w="1644" w:type="dxa"/>
          </w:tcPr>
          <w:p>
            <w:pPr>
              <w:pStyle w:val="0"/>
              <w:jc w:val="center"/>
            </w:pPr>
            <w:r>
              <w:rPr>
                <w:sz w:val="20"/>
              </w:rPr>
              <w:t xml:space="preserve">100000,0</w:t>
            </w:r>
          </w:p>
        </w:tc>
        <w:tc>
          <w:tcPr>
            <w:tcW w:w="1644" w:type="dxa"/>
          </w:tcPr>
          <w:p>
            <w:pPr>
              <w:pStyle w:val="0"/>
              <w:jc w:val="center"/>
            </w:pPr>
            <w:r>
              <w:rPr>
                <w:sz w:val="20"/>
              </w:rPr>
              <w:t xml:space="preserve">100000,0</w:t>
            </w:r>
          </w:p>
        </w:tc>
        <w:tc>
          <w:tcPr>
            <w:tcW w:w="1644" w:type="dxa"/>
          </w:tcPr>
          <w:p>
            <w:pPr>
              <w:pStyle w:val="0"/>
              <w:jc w:val="center"/>
            </w:pPr>
            <w:r>
              <w:rPr>
                <w:sz w:val="20"/>
              </w:rPr>
              <w:t xml:space="preserve">100000,0</w:t>
            </w:r>
          </w:p>
        </w:tc>
      </w:tr>
      <w:tr>
        <w:tc>
          <w:tcPr>
            <w:tcW w:w="566" w:type="dxa"/>
          </w:tcPr>
          <w:p>
            <w:pPr>
              <w:pStyle w:val="0"/>
              <w:jc w:val="center"/>
            </w:pPr>
            <w:r>
              <w:rPr>
                <w:sz w:val="20"/>
              </w:rPr>
              <w:t xml:space="preserve">5.</w:t>
            </w:r>
          </w:p>
        </w:tc>
        <w:tc>
          <w:tcPr>
            <w:tcW w:w="3572" w:type="dxa"/>
          </w:tcPr>
          <w:p>
            <w:pPr>
              <w:pStyle w:val="0"/>
            </w:pPr>
            <w:r>
              <w:rPr>
                <w:sz w:val="20"/>
              </w:rPr>
              <w:t xml:space="preserve">Увеличение дотаций на поддержку мер по обеспечению сбалансированности местных бюджетов</w:t>
            </w:r>
          </w:p>
        </w:tc>
        <w:tc>
          <w:tcPr>
            <w:tcW w:w="1644" w:type="dxa"/>
          </w:tcPr>
          <w:p>
            <w:pPr>
              <w:pStyle w:val="0"/>
              <w:jc w:val="center"/>
            </w:pPr>
            <w:r>
              <w:rPr>
                <w:sz w:val="20"/>
              </w:rPr>
              <w:t xml:space="preserve">210279,0</w:t>
            </w:r>
          </w:p>
        </w:tc>
        <w:tc>
          <w:tcPr>
            <w:tcW w:w="1644" w:type="dxa"/>
          </w:tcPr>
          <w:p>
            <w:pPr>
              <w:pStyle w:val="0"/>
              <w:jc w:val="center"/>
            </w:pPr>
            <w:r>
              <w:rPr>
                <w:sz w:val="20"/>
              </w:rPr>
              <w:t xml:space="preserve">200000,0</w:t>
            </w:r>
          </w:p>
        </w:tc>
        <w:tc>
          <w:tcPr>
            <w:tcW w:w="1644" w:type="dxa"/>
          </w:tcPr>
          <w:p>
            <w:pPr>
              <w:pStyle w:val="0"/>
              <w:jc w:val="center"/>
            </w:pPr>
            <w:r>
              <w:rPr>
                <w:sz w:val="20"/>
              </w:rPr>
              <w:t xml:space="preserve">200000,0</w:t>
            </w:r>
          </w:p>
        </w:tc>
      </w:tr>
      <w:tr>
        <w:tc>
          <w:tcPr>
            <w:tcW w:w="566" w:type="dxa"/>
          </w:tcPr>
          <w:p>
            <w:pPr>
              <w:pStyle w:val="0"/>
              <w:jc w:val="center"/>
            </w:pPr>
            <w:r>
              <w:rPr>
                <w:sz w:val="20"/>
              </w:rPr>
              <w:t xml:space="preserve">6.</w:t>
            </w:r>
          </w:p>
        </w:tc>
        <w:tc>
          <w:tcPr>
            <w:tcW w:w="3572" w:type="dxa"/>
          </w:tcPr>
          <w:p>
            <w:pPr>
              <w:pStyle w:val="0"/>
            </w:pPr>
            <w:r>
              <w:rPr>
                <w:sz w:val="20"/>
              </w:rPr>
              <w:t xml:space="preserve">Обслуживание государственного внутреннего долга в связи с заключением в 2020 году государственного контракта на привлечение кредита от кредитной организаций</w:t>
            </w:r>
          </w:p>
        </w:tc>
        <w:tc>
          <w:tcPr>
            <w:tcW w:w="1644" w:type="dxa"/>
          </w:tcPr>
          <w:p>
            <w:pPr>
              <w:pStyle w:val="0"/>
              <w:jc w:val="center"/>
            </w:pPr>
            <w:r>
              <w:rPr>
                <w:sz w:val="20"/>
              </w:rPr>
              <w:t xml:space="preserve">323411,8</w:t>
            </w:r>
          </w:p>
        </w:tc>
        <w:tc>
          <w:tcPr>
            <w:tcW w:w="1644" w:type="dxa"/>
          </w:tcPr>
          <w:p>
            <w:pPr>
              <w:pStyle w:val="0"/>
              <w:jc w:val="center"/>
            </w:pPr>
            <w:r>
              <w:rPr>
                <w:sz w:val="20"/>
              </w:rPr>
              <w:t xml:space="preserve">314029,7</w:t>
            </w:r>
          </w:p>
        </w:tc>
        <w:tc>
          <w:tcPr>
            <w:tcW w:w="1644" w:type="dxa"/>
          </w:tcPr>
          <w:p>
            <w:pPr>
              <w:pStyle w:val="0"/>
              <w:jc w:val="center"/>
            </w:pPr>
            <w:r>
              <w:rPr>
                <w:sz w:val="20"/>
              </w:rPr>
              <w:t xml:space="preserve">395009,0</w:t>
            </w:r>
          </w:p>
        </w:tc>
      </w:tr>
      <w:tr>
        <w:tc>
          <w:tcPr>
            <w:tcW w:w="566" w:type="dxa"/>
          </w:tcPr>
          <w:p>
            <w:pPr>
              <w:pStyle w:val="0"/>
            </w:pPr>
            <w:r>
              <w:rPr>
                <w:sz w:val="20"/>
              </w:rPr>
            </w:r>
          </w:p>
        </w:tc>
        <w:tc>
          <w:tcPr>
            <w:tcW w:w="3572" w:type="dxa"/>
          </w:tcPr>
          <w:p>
            <w:pPr>
              <w:pStyle w:val="0"/>
            </w:pPr>
            <w:r>
              <w:rPr>
                <w:sz w:val="20"/>
              </w:rPr>
              <w:t xml:space="preserve">ИТОГО:</w:t>
            </w:r>
          </w:p>
        </w:tc>
        <w:tc>
          <w:tcPr>
            <w:tcW w:w="1644" w:type="dxa"/>
          </w:tcPr>
          <w:p>
            <w:pPr>
              <w:pStyle w:val="0"/>
              <w:jc w:val="center"/>
            </w:pPr>
            <w:r>
              <w:rPr>
                <w:sz w:val="20"/>
              </w:rPr>
              <w:t xml:space="preserve">3068637,8</w:t>
            </w:r>
          </w:p>
        </w:tc>
        <w:tc>
          <w:tcPr>
            <w:tcW w:w="1644" w:type="dxa"/>
          </w:tcPr>
          <w:p>
            <w:pPr>
              <w:pStyle w:val="0"/>
              <w:jc w:val="center"/>
            </w:pPr>
            <w:r>
              <w:rPr>
                <w:sz w:val="20"/>
              </w:rPr>
              <w:t xml:space="preserve">955385,9</w:t>
            </w:r>
          </w:p>
        </w:tc>
        <w:tc>
          <w:tcPr>
            <w:tcW w:w="1644" w:type="dxa"/>
          </w:tcPr>
          <w:p>
            <w:pPr>
              <w:pStyle w:val="0"/>
              <w:jc w:val="center"/>
            </w:pPr>
            <w:r>
              <w:rPr>
                <w:sz w:val="20"/>
              </w:rPr>
              <w:t xml:space="preserve">1036365,2</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8</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07.07.2020 N 523-р</w:t>
      </w:r>
    </w:p>
    <w:p>
      <w:pPr>
        <w:pStyle w:val="0"/>
        <w:jc w:val="both"/>
      </w:pPr>
      <w:r>
        <w:rPr>
          <w:sz w:val="20"/>
        </w:rPr>
      </w:r>
    </w:p>
    <w:bookmarkStart w:id="1401" w:name="P1401"/>
    <w:bookmarkEnd w:id="1401"/>
    <w:p>
      <w:pPr>
        <w:pStyle w:val="2"/>
        <w:jc w:val="center"/>
      </w:pPr>
      <w:r>
        <w:rPr>
          <w:sz w:val="20"/>
        </w:rPr>
        <w:t xml:space="preserve">ПЕРЕЧЕНЬ</w:t>
      </w:r>
    </w:p>
    <w:p>
      <w:pPr>
        <w:pStyle w:val="2"/>
        <w:jc w:val="center"/>
      </w:pPr>
      <w:r>
        <w:rPr>
          <w:sz w:val="20"/>
        </w:rPr>
        <w:t xml:space="preserve">ПРИОРИТЕТНЫХ НАПРАВЛЕНИЙ СОФИНАНСИРОВАНИЯ РАСХОДНЫХ</w:t>
      </w:r>
    </w:p>
    <w:p>
      <w:pPr>
        <w:pStyle w:val="2"/>
        <w:jc w:val="center"/>
      </w:pPr>
      <w:r>
        <w:rPr>
          <w:sz w:val="20"/>
        </w:rPr>
        <w:t xml:space="preserve">ОБЯЗАТЕЛЬСТВ МУНИЦИПАЛЬНЫХ ОБРАЗОВАНИЙ ВЛАДИМИРСКОЙ ОБЛАСТИ</w:t>
      </w:r>
    </w:p>
    <w:p>
      <w:pPr>
        <w:pStyle w:val="2"/>
        <w:jc w:val="center"/>
      </w:pPr>
      <w:r>
        <w:rPr>
          <w:sz w:val="20"/>
        </w:rPr>
        <w:t xml:space="preserve">НА 2021 ГОД И НА ПЛАНОВЫЙ ПЕРИОД 2022 И 2023 ГОДОВ</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2494"/>
        <w:gridCol w:w="1927"/>
        <w:gridCol w:w="1247"/>
        <w:gridCol w:w="3118"/>
        <w:gridCol w:w="850"/>
        <w:gridCol w:w="1077"/>
        <w:gridCol w:w="1077"/>
        <w:gridCol w:w="1191"/>
      </w:tblGrid>
      <w:tr>
        <w:tc>
          <w:tcPr>
            <w:tcW w:w="566" w:type="dxa"/>
            <w:vMerge w:val="restart"/>
          </w:tcPr>
          <w:p>
            <w:pPr>
              <w:pStyle w:val="0"/>
              <w:jc w:val="center"/>
            </w:pPr>
            <w:r>
              <w:rPr>
                <w:sz w:val="20"/>
              </w:rPr>
              <w:t xml:space="preserve">N</w:t>
            </w:r>
          </w:p>
          <w:p>
            <w:pPr>
              <w:pStyle w:val="0"/>
              <w:jc w:val="center"/>
            </w:pPr>
            <w:r>
              <w:rPr>
                <w:sz w:val="20"/>
              </w:rPr>
              <w:t xml:space="preserve">п/п</w:t>
            </w:r>
          </w:p>
        </w:tc>
        <w:tc>
          <w:tcPr>
            <w:tcW w:w="2494" w:type="dxa"/>
            <w:vMerge w:val="restart"/>
          </w:tcPr>
          <w:p>
            <w:pPr>
              <w:pStyle w:val="0"/>
              <w:jc w:val="center"/>
            </w:pPr>
            <w:r>
              <w:rPr>
                <w:sz w:val="20"/>
              </w:rPr>
              <w:t xml:space="preserve">Направление софинансирования (мероприятие)</w:t>
            </w:r>
          </w:p>
        </w:tc>
        <w:tc>
          <w:tcPr>
            <w:tcW w:w="1927" w:type="dxa"/>
            <w:vMerge w:val="restart"/>
          </w:tcPr>
          <w:p>
            <w:pPr>
              <w:pStyle w:val="0"/>
              <w:jc w:val="center"/>
            </w:pPr>
            <w:r>
              <w:rPr>
                <w:sz w:val="20"/>
              </w:rPr>
              <w:t xml:space="preserve">Наименование государственной программы</w:t>
            </w:r>
          </w:p>
        </w:tc>
        <w:tc>
          <w:tcPr>
            <w:tcW w:w="1247" w:type="dxa"/>
            <w:vMerge w:val="restart"/>
          </w:tcPr>
          <w:p>
            <w:pPr>
              <w:pStyle w:val="0"/>
              <w:jc w:val="center"/>
            </w:pPr>
            <w:r>
              <w:rPr>
                <w:sz w:val="20"/>
              </w:rPr>
              <w:t xml:space="preserve">Главный распорядитель бюджетных средств</w:t>
            </w:r>
          </w:p>
        </w:tc>
        <w:tc>
          <w:tcPr>
            <w:tcW w:w="3118" w:type="dxa"/>
            <w:vMerge w:val="restart"/>
          </w:tcPr>
          <w:p>
            <w:pPr>
              <w:pStyle w:val="0"/>
              <w:jc w:val="center"/>
            </w:pPr>
            <w:r>
              <w:rPr>
                <w:sz w:val="20"/>
              </w:rPr>
              <w:t xml:space="preserve">Целевой показатель результативности предоставления субсидии</w:t>
            </w:r>
          </w:p>
        </w:tc>
        <w:tc>
          <w:tcPr>
            <w:tcW w:w="850" w:type="dxa"/>
            <w:vMerge w:val="restart"/>
          </w:tcPr>
          <w:p>
            <w:pPr>
              <w:pStyle w:val="0"/>
              <w:jc w:val="center"/>
            </w:pPr>
            <w:r>
              <w:rPr>
                <w:sz w:val="20"/>
              </w:rPr>
              <w:t xml:space="preserve">Единица измерения</w:t>
            </w:r>
          </w:p>
        </w:tc>
        <w:tc>
          <w:tcPr>
            <w:gridSpan w:val="3"/>
            <w:tcW w:w="3345" w:type="dxa"/>
          </w:tcPr>
          <w:p>
            <w:pPr>
              <w:pStyle w:val="0"/>
              <w:jc w:val="center"/>
            </w:pPr>
            <w:r>
              <w:rPr>
                <w:sz w:val="20"/>
              </w:rPr>
              <w:t xml:space="preserve">Значение показателя</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2021</w:t>
            </w:r>
          </w:p>
        </w:tc>
        <w:tc>
          <w:tcPr>
            <w:tcW w:w="1077" w:type="dxa"/>
          </w:tcPr>
          <w:p>
            <w:pPr>
              <w:pStyle w:val="0"/>
              <w:jc w:val="center"/>
            </w:pPr>
            <w:r>
              <w:rPr>
                <w:sz w:val="20"/>
              </w:rPr>
              <w:t xml:space="preserve">2022</w:t>
            </w:r>
          </w:p>
        </w:tc>
        <w:tc>
          <w:tcPr>
            <w:tcW w:w="1191" w:type="dxa"/>
          </w:tcPr>
          <w:p>
            <w:pPr>
              <w:pStyle w:val="0"/>
              <w:jc w:val="center"/>
            </w:pPr>
            <w:r>
              <w:rPr>
                <w:sz w:val="20"/>
              </w:rPr>
              <w:t xml:space="preserve">2023</w:t>
            </w:r>
          </w:p>
        </w:tc>
      </w:tr>
      <w:tr>
        <w:tc>
          <w:tcPr>
            <w:tcW w:w="566" w:type="dxa"/>
          </w:tcPr>
          <w:p>
            <w:pPr>
              <w:pStyle w:val="0"/>
              <w:jc w:val="center"/>
            </w:pPr>
            <w:r>
              <w:rPr>
                <w:sz w:val="20"/>
              </w:rPr>
              <w:t xml:space="preserve">1</w:t>
            </w:r>
          </w:p>
        </w:tc>
        <w:tc>
          <w:tcPr>
            <w:tcW w:w="2494" w:type="dxa"/>
          </w:tcPr>
          <w:p>
            <w:pPr>
              <w:pStyle w:val="0"/>
              <w:jc w:val="center"/>
            </w:pPr>
            <w:r>
              <w:rPr>
                <w:sz w:val="20"/>
              </w:rPr>
              <w:t xml:space="preserve">2</w:t>
            </w:r>
          </w:p>
        </w:tc>
        <w:tc>
          <w:tcPr>
            <w:tcW w:w="1927" w:type="dxa"/>
          </w:tcPr>
          <w:p>
            <w:pPr>
              <w:pStyle w:val="0"/>
              <w:jc w:val="center"/>
            </w:pPr>
            <w:r>
              <w:rPr>
                <w:sz w:val="20"/>
              </w:rPr>
              <w:t xml:space="preserve">3</w:t>
            </w:r>
          </w:p>
        </w:tc>
        <w:tc>
          <w:tcPr>
            <w:tcW w:w="1247" w:type="dxa"/>
          </w:tcPr>
          <w:p>
            <w:pPr>
              <w:pStyle w:val="0"/>
              <w:jc w:val="center"/>
            </w:pPr>
            <w:r>
              <w:rPr>
                <w:sz w:val="20"/>
              </w:rPr>
              <w:t xml:space="preserve">4</w:t>
            </w:r>
          </w:p>
        </w:tc>
        <w:tc>
          <w:tcPr>
            <w:tcW w:w="3118" w:type="dxa"/>
          </w:tcPr>
          <w:p>
            <w:pPr>
              <w:pStyle w:val="0"/>
              <w:jc w:val="center"/>
            </w:pPr>
            <w:r>
              <w:rPr>
                <w:sz w:val="20"/>
              </w:rPr>
              <w:t xml:space="preserve">5</w:t>
            </w:r>
          </w:p>
        </w:tc>
        <w:tc>
          <w:tcPr>
            <w:tcW w:w="850" w:type="dxa"/>
          </w:tcPr>
          <w:p>
            <w:pPr>
              <w:pStyle w:val="0"/>
              <w:jc w:val="center"/>
            </w:pPr>
            <w:r>
              <w:rPr>
                <w:sz w:val="20"/>
              </w:rPr>
              <w:t xml:space="preserve">6</w:t>
            </w:r>
          </w:p>
        </w:tc>
        <w:tc>
          <w:tcPr>
            <w:tcW w:w="1077" w:type="dxa"/>
          </w:tcPr>
          <w:p>
            <w:pPr>
              <w:pStyle w:val="0"/>
              <w:jc w:val="center"/>
            </w:pPr>
            <w:r>
              <w:rPr>
                <w:sz w:val="20"/>
              </w:rPr>
              <w:t xml:space="preserve">7</w:t>
            </w:r>
          </w:p>
        </w:tc>
        <w:tc>
          <w:tcPr>
            <w:tcW w:w="1077" w:type="dxa"/>
          </w:tcPr>
          <w:p>
            <w:pPr>
              <w:pStyle w:val="0"/>
              <w:jc w:val="center"/>
            </w:pPr>
            <w:r>
              <w:rPr>
                <w:sz w:val="20"/>
              </w:rPr>
              <w:t xml:space="preserve">8</w:t>
            </w:r>
          </w:p>
        </w:tc>
        <w:tc>
          <w:tcPr>
            <w:tcW w:w="1191" w:type="dxa"/>
          </w:tcPr>
          <w:p>
            <w:pPr>
              <w:pStyle w:val="0"/>
              <w:jc w:val="center"/>
            </w:pPr>
            <w:r>
              <w:rPr>
                <w:sz w:val="20"/>
              </w:rPr>
              <w:t xml:space="preserve">9</w:t>
            </w:r>
          </w:p>
        </w:tc>
      </w:tr>
      <w:tr>
        <w:tblPrEx>
          <w:tblBorders>
            <w:insideH w:val="nil"/>
          </w:tblBorders>
        </w:tblPrEx>
        <w:tc>
          <w:tcPr>
            <w:gridSpan w:val="9"/>
            <w:tcW w:w="13547" w:type="dxa"/>
            <w:tcBorders>
              <w:bottom w:val="nil"/>
            </w:tcBorders>
          </w:tcPr>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постановление</w:t>
                  </w:r>
                </w:p>
                <w:p>
                  <w:pPr>
                    <w:pStyle w:val="0"/>
                    <w:jc w:val="both"/>
                  </w:pPr>
                  <w:r>
                    <w:rPr>
                      <w:sz w:val="20"/>
                      <w:color w:val="392c69"/>
                    </w:rPr>
                    <w:t xml:space="preserve">Главного государственного санитарного врача Российской Федерации от 18.05.2010</w:t>
                  </w:r>
                </w:p>
                <w:p>
                  <w:pPr>
                    <w:pStyle w:val="0"/>
                    <w:jc w:val="both"/>
                  </w:pPr>
                  <w:r>
                    <w:rPr>
                      <w:sz w:val="20"/>
                      <w:color w:val="392c69"/>
                    </w:rPr>
                    <w:t xml:space="preserve">имеет номер 58, а не 107.</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blPrEx>
          <w:tblBorders>
            <w:insideH w:val="nil"/>
          </w:tblBorders>
        </w:tblPrEx>
        <w:tc>
          <w:tcPr>
            <w:tcW w:w="566" w:type="dxa"/>
            <w:tcBorders>
              <w:top w:val="nil"/>
            </w:tcBorders>
            <w:vMerge w:val="restart"/>
          </w:tcPr>
          <w:p>
            <w:pPr>
              <w:pStyle w:val="0"/>
              <w:jc w:val="center"/>
            </w:pPr>
            <w:r>
              <w:rPr>
                <w:sz w:val="20"/>
              </w:rPr>
              <w:t xml:space="preserve">1.</w:t>
            </w:r>
          </w:p>
        </w:tc>
        <w:tc>
          <w:tcPr>
            <w:tcW w:w="2494" w:type="dxa"/>
            <w:tcBorders>
              <w:top w:val="nil"/>
            </w:tcBorders>
            <w:vMerge w:val="restart"/>
          </w:tcPr>
          <w:p>
            <w:pPr>
              <w:pStyle w:val="0"/>
            </w:pPr>
            <w:r>
              <w:rPr>
                <w:sz w:val="20"/>
              </w:rPr>
              <w:t xml:space="preserve">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(далее - образовательные организации), реализующих основные общеобразовательные программы</w:t>
            </w:r>
          </w:p>
        </w:tc>
        <w:tc>
          <w:tcPr>
            <w:tcW w:w="1927" w:type="dxa"/>
            <w:tcBorders>
              <w:top w:val="nil"/>
            </w:tcBorders>
            <w:vMerge w:val="restart"/>
          </w:tcPr>
          <w:p>
            <w:pPr>
              <w:pStyle w:val="0"/>
            </w:pPr>
            <w:r>
              <w:rPr>
                <w:sz w:val="20"/>
              </w:rPr>
              <w:t xml:space="preserve">Государственная программа "Развитие здравоохранения Владимирской области"</w:t>
            </w:r>
          </w:p>
        </w:tc>
        <w:tc>
          <w:tcPr>
            <w:tcW w:w="1247" w:type="dxa"/>
            <w:tcBorders>
              <w:top w:val="nil"/>
            </w:tcBorders>
            <w:vMerge w:val="restart"/>
          </w:tcPr>
          <w:p>
            <w:pPr>
              <w:pStyle w:val="0"/>
            </w:pPr>
            <w:r>
              <w:rPr>
                <w:sz w:val="20"/>
              </w:rPr>
              <w:t xml:space="preserve">Департамент здравоохранения Владимирской области</w:t>
            </w:r>
          </w:p>
        </w:tc>
        <w:tc>
          <w:tcPr>
            <w:tcW w:w="3118" w:type="dxa"/>
            <w:tcBorders>
              <w:top w:val="nil"/>
            </w:tcBorders>
          </w:tcPr>
          <w:p>
            <w:pPr>
              <w:pStyle w:val="0"/>
            </w:pPr>
            <w:r>
              <w:rPr>
                <w:sz w:val="20"/>
              </w:rPr>
              <w:t xml:space="preserve">Количество медицинских блоков отделений организации медицинской помощи несовершеннолетним в образовательных организациях, получивших лицензии в текущем отчетном периоде</w:t>
            </w:r>
          </w:p>
        </w:tc>
        <w:tc>
          <w:tcPr>
            <w:tcW w:w="850" w:type="dxa"/>
            <w:tcBorders>
              <w:top w:val="nil"/>
            </w:tcBorders>
          </w:tcPr>
          <w:p>
            <w:pPr>
              <w:pStyle w:val="0"/>
            </w:pPr>
            <w:r>
              <w:rPr>
                <w:sz w:val="20"/>
              </w:rPr>
              <w:t xml:space="preserve">штуки</w:t>
            </w:r>
          </w:p>
        </w:tc>
        <w:tc>
          <w:tcPr>
            <w:tcW w:w="1077" w:type="dxa"/>
            <w:tcBorders>
              <w:top w:val="nil"/>
            </w:tcBorders>
          </w:tcPr>
          <w:p>
            <w:pPr>
              <w:pStyle w:val="0"/>
              <w:jc w:val="center"/>
            </w:pPr>
            <w:r>
              <w:rPr>
                <w:sz w:val="20"/>
              </w:rPr>
              <w:t xml:space="preserve">-</w:t>
            </w:r>
          </w:p>
        </w:tc>
        <w:tc>
          <w:tcPr>
            <w:tcW w:w="1077" w:type="dxa"/>
            <w:tcBorders>
              <w:top w:val="nil"/>
            </w:tcBorders>
          </w:tcPr>
          <w:p>
            <w:pPr>
              <w:pStyle w:val="0"/>
              <w:jc w:val="center"/>
            </w:pPr>
            <w:r>
              <w:rPr>
                <w:sz w:val="20"/>
              </w:rPr>
              <w:t xml:space="preserve">-</w:t>
            </w:r>
          </w:p>
        </w:tc>
        <w:tc>
          <w:tcPr>
            <w:tcW w:w="1191" w:type="dxa"/>
            <w:tcBorders>
              <w:top w:val="nil"/>
            </w:tcBorders>
          </w:tcPr>
          <w:p>
            <w:pPr>
              <w:pStyle w:val="0"/>
            </w:pPr>
            <w:r>
              <w:rPr>
                <w:sz w:val="20"/>
              </w:rPr>
              <w:t xml:space="preserve">-</w:t>
            </w:r>
          </w:p>
        </w:tc>
      </w:tr>
      <w:tr>
        <w:tc>
          <w:tcPr>
            <w:tcBorders>
              <w:top w:val="nil"/>
            </w:tcBorders>
            <w:vMerge w:val="continue"/>
          </w:tcPr>
          <w:p/>
        </w:tc>
        <w:tc>
          <w:tcPr>
            <w:tcBorders>
              <w:top w:val="nil"/>
            </w:tcBorders>
            <w:vMerge w:val="continue"/>
          </w:tcPr>
          <w:p/>
        </w:tc>
        <w:tc>
          <w:tcPr>
            <w:tcBorders>
              <w:top w:val="nil"/>
            </w:tcBorders>
            <w:vMerge w:val="continue"/>
          </w:tcPr>
          <w:p/>
        </w:tc>
        <w:tc>
          <w:tcPr>
            <w:tcBorders>
              <w:top w:val="nil"/>
            </w:tcBorders>
            <w:vMerge w:val="continue"/>
          </w:tcPr>
          <w:p/>
        </w:tc>
        <w:tc>
          <w:tcPr>
            <w:tcW w:w="3118" w:type="dxa"/>
          </w:tcPr>
          <w:p>
            <w:pPr>
              <w:pStyle w:val="0"/>
            </w:pPr>
            <w:r>
              <w:rPr>
                <w:sz w:val="20"/>
              </w:rPr>
              <w:t xml:space="preserve">Количество переданных в безвозмездное пользование медицинским организациям государственной системы здравоохранения Владимирской области медицинских кабинетов, оборудованных:</w:t>
            </w:r>
          </w:p>
          <w:p>
            <w:pPr>
              <w:pStyle w:val="0"/>
            </w:pPr>
            <w:r>
              <w:rPr>
                <w:sz w:val="20"/>
              </w:rPr>
              <w:t xml:space="preserve">- в дошкольных учреждениях - в соответствии с требованиями </w:t>
            </w:r>
            <w:hyperlink w:history="0" r:id="rId78" w:tooltip="Приказ Минздрава России от 05.11.2013 N 822н (ред. от 21.02.2020) &quot;Об утверждении Порядка оказания медицинской помощи несовершеннолетним, в том числе в период обучения и воспитания в образовательных организациях&quot; (Зарегистрировано в Минюсте России 17.01.2014 N 31045) {КонсультантПлюс}">
              <w:r>
                <w:rPr>
                  <w:sz w:val="20"/>
                  <w:color w:val="0000ff"/>
                </w:rPr>
                <w:t xml:space="preserve">приказа</w:t>
              </w:r>
            </w:hyperlink>
            <w:r>
              <w:rPr>
                <w:sz w:val="20"/>
              </w:rPr>
              <w:t xml:space="preserve"> Министерства здравоохранения Российской Федерации от 05.11.2013 N 822н "Об утверждении Порядка оказания медицинской помощи несовершеннолетним, в том числе в период обучения и воспитания в образовательных организациях" и соответствующих требований </w:t>
            </w:r>
            <w:hyperlink w:history="0" r:id="rId79" w:tooltip="Постановление Главного государственного санитарного врача РФ от 18.05.2010 N 58 (ред. от 10.06.2016) &quot;Об утверждении СанПиН 2.1.3.2630-10 &quot;Санитарно-эпидемиологические требования к организациям, осуществляющим медицинскую деятельность&quot; (вместе с &quot;СанПиН 2.1.3.2630-10. Санитарно-эпидемиологические правила и нормативы...&quot;) (Зарегистрировано в Минюсте России 09.08.2010 N 18094) ------------ Утратил силу или отменен {КонсультантПлюс}">
              <w:r>
                <w:rPr>
                  <w:sz w:val="20"/>
                  <w:color w:val="0000ff"/>
                </w:rPr>
                <w:t xml:space="preserve">СанПиН 2.1.3.2630-10</w:t>
              </w:r>
            </w:hyperlink>
            <w:r>
              <w:rPr>
                <w:sz w:val="20"/>
              </w:rPr>
              <w:t xml:space="preserve">, утвержденных постановлением Главного государственного санитарного врача Российской Федерации от 18.05.2010 N 107, </w:t>
            </w:r>
            <w:hyperlink w:history="0" r:id="rId80" w:tooltip="Постановление Главного государственного санитарного врача РФ от 15.05.2013 N 26 (ред. от 27.08.2015) &quot;Об утверждении СанПиН 2.4.1.3049-13 &quot;Санитарно-эпидемиологические требования к устройству, содержанию и организации режима работы дошкольных образовательных организаций&quot; (вместе с &quot;СанПиН 2.4.1.3049-13. Санитарно-эпидемиологические правила и нормативы...&quot;) (Зарегистрировано в Минюсте России 29.05.2013 N 28564) ------------ Утратил силу или отменен {КонсультантПлюс}">
              <w:r>
                <w:rPr>
                  <w:sz w:val="20"/>
                  <w:color w:val="0000ff"/>
                </w:rPr>
                <w:t xml:space="preserve">СанПиН 2.4.1.3049-13</w:t>
              </w:r>
            </w:hyperlink>
            <w:r>
              <w:rPr>
                <w:sz w:val="20"/>
              </w:rPr>
              <w:t xml:space="preserve">, утвержденных постановлением Главного государственного санитарного врача Российской Федерации от 15.05.2013 N 26;</w:t>
            </w:r>
          </w:p>
          <w:p>
            <w:pPr>
              <w:pStyle w:val="0"/>
            </w:pPr>
            <w:r>
              <w:rPr>
                <w:sz w:val="20"/>
              </w:rPr>
              <w:t xml:space="preserve">- в образовательных организациях - в соответствии с требованиями </w:t>
            </w:r>
            <w:hyperlink w:history="0" r:id="rId81"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СанПиН 2.4.2.2821-10</w:t>
              </w:r>
            </w:hyperlink>
            <w:r>
              <w:rPr>
                <w:sz w:val="20"/>
              </w:rPr>
              <w:t xml:space="preserve">, утвержденных постановлением Главного государственного санитарного врача Российской Федерации от 29.12.2010 N 189</w:t>
            </w:r>
          </w:p>
        </w:tc>
        <w:tc>
          <w:tcPr>
            <w:tcW w:w="850" w:type="dxa"/>
          </w:tcPr>
          <w:p>
            <w:pPr>
              <w:pStyle w:val="0"/>
            </w:pPr>
            <w:r>
              <w:rPr>
                <w:sz w:val="20"/>
              </w:rPr>
              <w:t xml:space="preserve">штуки</w:t>
            </w:r>
          </w:p>
        </w:tc>
        <w:tc>
          <w:tcPr>
            <w:tcW w:w="1077" w:type="dxa"/>
          </w:tcPr>
          <w:p>
            <w:pPr>
              <w:pStyle w:val="0"/>
              <w:jc w:val="center"/>
            </w:pPr>
            <w:r>
              <w:rPr>
                <w:sz w:val="20"/>
              </w:rPr>
              <w:t xml:space="preserve">26</w:t>
            </w:r>
          </w:p>
        </w:tc>
        <w:tc>
          <w:tcPr>
            <w:tcW w:w="1077" w:type="dxa"/>
          </w:tcPr>
          <w:p>
            <w:pPr>
              <w:pStyle w:val="0"/>
              <w:jc w:val="center"/>
            </w:pPr>
            <w:r>
              <w:rPr>
                <w:sz w:val="20"/>
              </w:rPr>
              <w:t xml:space="preserve">10</w:t>
            </w:r>
          </w:p>
        </w:tc>
        <w:tc>
          <w:tcPr>
            <w:tcW w:w="1191" w:type="dxa"/>
          </w:tcPr>
          <w:p>
            <w:pPr>
              <w:pStyle w:val="0"/>
            </w:pPr>
            <w:r>
              <w:rPr>
                <w:sz w:val="20"/>
              </w:rPr>
              <w:t xml:space="preserve">-</w:t>
            </w:r>
          </w:p>
        </w:tc>
      </w:tr>
      <w:tr>
        <w:tc>
          <w:tcPr>
            <w:tcW w:w="566" w:type="dxa"/>
            <w:vMerge w:val="restart"/>
          </w:tcPr>
          <w:p>
            <w:pPr>
              <w:pStyle w:val="0"/>
              <w:jc w:val="center"/>
            </w:pPr>
            <w:r>
              <w:rPr>
                <w:sz w:val="20"/>
              </w:rPr>
              <w:t xml:space="preserve">2.</w:t>
            </w:r>
          </w:p>
        </w:tc>
        <w:tc>
          <w:tcPr>
            <w:tcW w:w="2494" w:type="dxa"/>
            <w:vMerge w:val="restart"/>
          </w:tcPr>
          <w:p>
            <w:pPr>
              <w:pStyle w:val="0"/>
            </w:pPr>
            <w:r>
              <w:rPr>
                <w:sz w:val="20"/>
              </w:rPr>
              <w:t xml:space="preserve">Повышение оплаты труда работников учреждений культуры и педагогических работников дополнительного образования детей сферы культуры в соответствии с Указами Президента Российской Федерации от 07 мая 2012 года </w:t>
            </w:r>
            <w:hyperlink w:history="0" r:id="rId82"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01.06.2012 </w:t>
            </w:r>
            <w:hyperlink w:history="0" r:id="rId83"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в рамках подпрограммы "Обеспечение условий реализации Программы" государственной программы Владимирской области "Развитие культуры"</w:t>
            </w:r>
          </w:p>
        </w:tc>
        <w:tc>
          <w:tcPr>
            <w:tcW w:w="1927" w:type="dxa"/>
            <w:vMerge w:val="restart"/>
          </w:tcPr>
          <w:p>
            <w:pPr>
              <w:pStyle w:val="0"/>
            </w:pPr>
            <w:r>
              <w:rPr>
                <w:sz w:val="20"/>
              </w:rPr>
              <w:t xml:space="preserve">Государственная программа Владимирской области "Развитие культуры"</w:t>
            </w:r>
          </w:p>
        </w:tc>
        <w:tc>
          <w:tcPr>
            <w:tcW w:w="1247" w:type="dxa"/>
            <w:vMerge w:val="restart"/>
          </w:tcPr>
          <w:p>
            <w:pPr>
              <w:pStyle w:val="0"/>
            </w:pPr>
            <w:r>
              <w:rPr>
                <w:sz w:val="20"/>
              </w:rPr>
              <w:t xml:space="preserve">Департамент культуры Владимирской области</w:t>
            </w:r>
          </w:p>
        </w:tc>
        <w:tc>
          <w:tcPr>
            <w:tcW w:w="3118" w:type="dxa"/>
          </w:tcPr>
          <w:p>
            <w:pPr>
              <w:pStyle w:val="0"/>
            </w:pPr>
            <w:r>
              <w:rPr>
                <w:sz w:val="20"/>
              </w:rPr>
              <w:t xml:space="preserve">Соотношение средней заработной платы работников муниципальных учреждений культуры к средней заработной плате во Владимирской области</w:t>
            </w:r>
          </w:p>
        </w:tc>
        <w:tc>
          <w:tcPr>
            <w:tcW w:w="850" w:type="dxa"/>
          </w:tcPr>
          <w:p>
            <w:pPr>
              <w:pStyle w:val="0"/>
            </w:pPr>
            <w:r>
              <w:rPr>
                <w:sz w:val="20"/>
              </w:rPr>
              <w:t xml:space="preserve">%</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c>
          <w:tcPr>
            <w:tcW w:w="1191" w:type="dxa"/>
          </w:tcPr>
          <w:p>
            <w:pPr>
              <w:pStyle w:val="0"/>
            </w:pPr>
            <w:r>
              <w:rPr>
                <w:sz w:val="20"/>
              </w:rPr>
              <w:t xml:space="preserve">100,0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Соотношение средней заработной платы педагогических работников муниципальных учреждений дополнительного образования детей сферы культуры к средней заработной плате учителей во Владимирской области</w:t>
            </w:r>
          </w:p>
        </w:tc>
        <w:tc>
          <w:tcPr>
            <w:tcW w:w="850" w:type="dxa"/>
          </w:tcPr>
          <w:p>
            <w:pPr>
              <w:pStyle w:val="0"/>
            </w:pPr>
            <w:r>
              <w:rPr>
                <w:sz w:val="20"/>
              </w:rPr>
              <w:t xml:space="preserve">%</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c>
          <w:tcPr>
            <w:tcW w:w="1191" w:type="dxa"/>
          </w:tcPr>
          <w:p>
            <w:pPr>
              <w:pStyle w:val="0"/>
            </w:pPr>
            <w:r>
              <w:rPr>
                <w:sz w:val="20"/>
              </w:rPr>
              <w:t xml:space="preserve">100,0</w:t>
            </w:r>
          </w:p>
        </w:tc>
      </w:tr>
      <w:tr>
        <w:tc>
          <w:tcPr>
            <w:tcW w:w="566" w:type="dxa"/>
          </w:tcPr>
          <w:p>
            <w:pPr>
              <w:pStyle w:val="0"/>
              <w:jc w:val="center"/>
            </w:pPr>
            <w:r>
              <w:rPr>
                <w:sz w:val="20"/>
              </w:rPr>
              <w:t xml:space="preserve">3.</w:t>
            </w:r>
          </w:p>
        </w:tc>
        <w:tc>
          <w:tcPr>
            <w:tcW w:w="2494" w:type="dxa"/>
          </w:tcPr>
          <w:p>
            <w:pPr>
              <w:pStyle w:val="0"/>
            </w:pPr>
            <w:r>
              <w:rPr>
                <w:sz w:val="20"/>
              </w:rPr>
              <w:t xml:space="preserve">Подготовка и проведение празднования на федеральном уровне памятных дат Владимирской области</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Выполнение плана не менее чем на 90 процентов ежегодно</w:t>
            </w:r>
          </w:p>
        </w:tc>
        <w:tc>
          <w:tcPr>
            <w:tcW w:w="850" w:type="dxa"/>
          </w:tcPr>
          <w:p>
            <w:pPr>
              <w:pStyle w:val="0"/>
            </w:pPr>
            <w:r>
              <w:rPr>
                <w:sz w:val="20"/>
              </w:rPr>
              <w:t xml:space="preserve">%</w:t>
            </w:r>
          </w:p>
        </w:tc>
        <w:tc>
          <w:tcPr>
            <w:tcW w:w="1077" w:type="dxa"/>
          </w:tcPr>
          <w:p>
            <w:pPr>
              <w:pStyle w:val="0"/>
              <w:jc w:val="center"/>
            </w:pPr>
            <w:r>
              <w:rPr>
                <w:sz w:val="20"/>
              </w:rPr>
              <w:t xml:space="preserve">-</w:t>
            </w:r>
          </w:p>
        </w:tc>
        <w:tc>
          <w:tcPr>
            <w:tcW w:w="1077" w:type="dxa"/>
          </w:tcPr>
          <w:p>
            <w:pPr>
              <w:pStyle w:val="0"/>
              <w:jc w:val="center"/>
            </w:pPr>
            <w:r>
              <w:rPr>
                <w:sz w:val="20"/>
              </w:rPr>
              <w:t xml:space="preserve">90,0</w:t>
            </w:r>
          </w:p>
        </w:tc>
        <w:tc>
          <w:tcPr>
            <w:tcW w:w="1191" w:type="dxa"/>
          </w:tcPr>
          <w:p>
            <w:pPr>
              <w:pStyle w:val="0"/>
            </w:pPr>
            <w:r>
              <w:rPr>
                <w:sz w:val="20"/>
              </w:rPr>
              <w:t xml:space="preserve">90,0</w:t>
            </w:r>
          </w:p>
        </w:tc>
      </w:tr>
      <w:tr>
        <w:tc>
          <w:tcPr>
            <w:tcW w:w="566" w:type="dxa"/>
          </w:tcPr>
          <w:p>
            <w:pPr>
              <w:pStyle w:val="0"/>
              <w:jc w:val="center"/>
            </w:pPr>
            <w:r>
              <w:rPr>
                <w:sz w:val="20"/>
              </w:rPr>
              <w:t xml:space="preserve">4.</w:t>
            </w:r>
          </w:p>
        </w:tc>
        <w:tc>
          <w:tcPr>
            <w:tcW w:w="2494" w:type="dxa"/>
          </w:tcPr>
          <w:p>
            <w:pPr>
              <w:pStyle w:val="0"/>
            </w:pPr>
            <w:r>
              <w:rPr>
                <w:sz w:val="20"/>
              </w:rPr>
              <w:t xml:space="preserve">Укрепление материально-технической базы муниципальных учреждений культуры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Количество муниципальных учреждений культуры, на которых проводятся мероприятия по ремонту и оснащению оборудованием</w:t>
            </w:r>
          </w:p>
        </w:tc>
        <w:tc>
          <w:tcPr>
            <w:tcW w:w="850" w:type="dxa"/>
          </w:tcPr>
          <w:p>
            <w:pPr>
              <w:pStyle w:val="0"/>
            </w:pPr>
            <w:r>
              <w:rPr>
                <w:sz w:val="20"/>
              </w:rPr>
              <w:t xml:space="preserve">ед.</w:t>
            </w:r>
          </w:p>
        </w:tc>
        <w:tc>
          <w:tcPr>
            <w:tcW w:w="1077" w:type="dxa"/>
          </w:tcPr>
          <w:p>
            <w:pPr>
              <w:pStyle w:val="0"/>
              <w:jc w:val="center"/>
            </w:pPr>
            <w:r>
              <w:rPr>
                <w:sz w:val="20"/>
              </w:rPr>
              <w:t xml:space="preserve">9</w:t>
            </w:r>
          </w:p>
        </w:tc>
        <w:tc>
          <w:tcPr>
            <w:tcW w:w="1077" w:type="dxa"/>
          </w:tcPr>
          <w:p>
            <w:pPr>
              <w:pStyle w:val="0"/>
              <w:jc w:val="center"/>
            </w:pPr>
            <w:r>
              <w:rPr>
                <w:sz w:val="20"/>
              </w:rPr>
              <w:t xml:space="preserve">6</w:t>
            </w:r>
          </w:p>
        </w:tc>
        <w:tc>
          <w:tcPr>
            <w:tcW w:w="1191" w:type="dxa"/>
          </w:tcPr>
          <w:p>
            <w:pPr>
              <w:pStyle w:val="0"/>
            </w:pPr>
            <w:r>
              <w:rPr>
                <w:sz w:val="20"/>
              </w:rPr>
              <w:t xml:space="preserve">6</w:t>
            </w:r>
          </w:p>
        </w:tc>
      </w:tr>
      <w:tr>
        <w:tc>
          <w:tcPr>
            <w:tcW w:w="566" w:type="dxa"/>
          </w:tcPr>
          <w:p>
            <w:pPr>
              <w:pStyle w:val="0"/>
              <w:jc w:val="center"/>
            </w:pPr>
            <w:r>
              <w:rPr>
                <w:sz w:val="20"/>
              </w:rPr>
              <w:t xml:space="preserve">5.</w:t>
            </w:r>
          </w:p>
        </w:tc>
        <w:tc>
          <w:tcPr>
            <w:tcW w:w="2494" w:type="dxa"/>
          </w:tcPr>
          <w:p>
            <w:pPr>
              <w:pStyle w:val="0"/>
            </w:pPr>
            <w:r>
              <w:rPr>
                <w:sz w:val="20"/>
              </w:rPr>
              <w:t xml:space="preserve">Обеспечение развития и укрепления материально-технической базы домов культуры в населенных пунктах с числом жителей до 50 тысяч человек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Средняя численность участников клубных формирований (в муниципальных домах культуры) в расчете на одну тысячу человек</w:t>
            </w:r>
          </w:p>
        </w:tc>
        <w:tc>
          <w:tcPr>
            <w:tcW w:w="850" w:type="dxa"/>
          </w:tcPr>
          <w:p>
            <w:pPr>
              <w:pStyle w:val="0"/>
            </w:pPr>
            <w:r>
              <w:rPr>
                <w:sz w:val="20"/>
              </w:rPr>
              <w:t xml:space="preserve">чел.</w:t>
            </w:r>
          </w:p>
        </w:tc>
        <w:tc>
          <w:tcPr>
            <w:tcW w:w="1077" w:type="dxa"/>
          </w:tcPr>
          <w:p>
            <w:pPr>
              <w:pStyle w:val="0"/>
              <w:jc w:val="center"/>
            </w:pPr>
            <w:r>
              <w:rPr>
                <w:sz w:val="20"/>
              </w:rPr>
              <w:t xml:space="preserve">89</w:t>
            </w:r>
          </w:p>
        </w:tc>
        <w:tc>
          <w:tcPr>
            <w:tcW w:w="1077" w:type="dxa"/>
          </w:tcPr>
          <w:p>
            <w:pPr>
              <w:pStyle w:val="0"/>
              <w:jc w:val="center"/>
            </w:pPr>
            <w:r>
              <w:rPr>
                <w:sz w:val="20"/>
              </w:rPr>
              <w:t xml:space="preserve">89</w:t>
            </w:r>
          </w:p>
        </w:tc>
        <w:tc>
          <w:tcPr>
            <w:tcW w:w="1191" w:type="dxa"/>
          </w:tcPr>
          <w:p>
            <w:pPr>
              <w:pStyle w:val="0"/>
            </w:pPr>
            <w:r>
              <w:rPr>
                <w:sz w:val="20"/>
              </w:rPr>
              <w:t xml:space="preserve">По итогам конкурсного отбора</w:t>
            </w:r>
          </w:p>
        </w:tc>
      </w:tr>
      <w:tr>
        <w:tc>
          <w:tcPr>
            <w:tcW w:w="566" w:type="dxa"/>
          </w:tcPr>
          <w:p>
            <w:pPr>
              <w:pStyle w:val="0"/>
              <w:jc w:val="center"/>
            </w:pPr>
            <w:r>
              <w:rPr>
                <w:sz w:val="20"/>
              </w:rPr>
              <w:t xml:space="preserve">6.</w:t>
            </w:r>
          </w:p>
        </w:tc>
        <w:tc>
          <w:tcPr>
            <w:tcW w:w="2494" w:type="dxa"/>
          </w:tcPr>
          <w:p>
            <w:pPr>
              <w:pStyle w:val="0"/>
            </w:pPr>
            <w:r>
              <w:rPr>
                <w:sz w:val="20"/>
              </w:rPr>
              <w:t xml:space="preserve">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Количество посещений организаций культуры (профессиональных театров) по отношению к уровню 2010 года</w:t>
            </w:r>
          </w:p>
        </w:tc>
        <w:tc>
          <w:tcPr>
            <w:tcW w:w="850" w:type="dxa"/>
          </w:tcPr>
          <w:p>
            <w:pPr>
              <w:pStyle w:val="0"/>
            </w:pPr>
            <w:r>
              <w:rPr>
                <w:sz w:val="20"/>
              </w:rPr>
              <w:t xml:space="preserve">%</w:t>
            </w:r>
          </w:p>
        </w:tc>
        <w:tc>
          <w:tcPr>
            <w:tcW w:w="1077" w:type="dxa"/>
          </w:tcPr>
          <w:p>
            <w:pPr>
              <w:pStyle w:val="0"/>
              <w:jc w:val="center"/>
            </w:pPr>
            <w:r>
              <w:rPr>
                <w:sz w:val="20"/>
              </w:rPr>
              <w:t xml:space="preserve">117,0</w:t>
            </w:r>
          </w:p>
        </w:tc>
        <w:tc>
          <w:tcPr>
            <w:tcW w:w="1077" w:type="dxa"/>
          </w:tcPr>
          <w:p>
            <w:pPr>
              <w:pStyle w:val="0"/>
              <w:jc w:val="center"/>
            </w:pPr>
            <w:r>
              <w:rPr>
                <w:sz w:val="20"/>
              </w:rPr>
              <w:t xml:space="preserve">118,0</w:t>
            </w:r>
          </w:p>
        </w:tc>
        <w:tc>
          <w:tcPr>
            <w:tcW w:w="1191" w:type="dxa"/>
          </w:tcPr>
          <w:p>
            <w:pPr>
              <w:pStyle w:val="0"/>
            </w:pPr>
            <w:r>
              <w:rPr>
                <w:sz w:val="20"/>
              </w:rPr>
              <w:t xml:space="preserve">По итогам конкурсного отбора</w:t>
            </w:r>
          </w:p>
        </w:tc>
      </w:tr>
      <w:tr>
        <w:tc>
          <w:tcPr>
            <w:tcW w:w="566" w:type="dxa"/>
          </w:tcPr>
          <w:p>
            <w:pPr>
              <w:pStyle w:val="0"/>
              <w:jc w:val="center"/>
            </w:pPr>
            <w:r>
              <w:rPr>
                <w:sz w:val="20"/>
              </w:rPr>
              <w:t xml:space="preserve">7.</w:t>
            </w:r>
          </w:p>
        </w:tc>
        <w:tc>
          <w:tcPr>
            <w:tcW w:w="2494" w:type="dxa"/>
          </w:tcPr>
          <w:p>
            <w:pPr>
              <w:pStyle w:val="0"/>
            </w:pPr>
            <w:r>
              <w:rPr>
                <w:sz w:val="20"/>
              </w:rPr>
              <w:t xml:space="preserve">Государственная поддержка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Количество построенных (реконструированных) и (или) капитально отремонтированных культурно-досуговых учреждений в сельской местности</w:t>
            </w:r>
          </w:p>
        </w:tc>
        <w:tc>
          <w:tcPr>
            <w:tcW w:w="850" w:type="dxa"/>
          </w:tcPr>
          <w:p>
            <w:pPr>
              <w:pStyle w:val="0"/>
            </w:pPr>
            <w:r>
              <w:rPr>
                <w:sz w:val="20"/>
              </w:rPr>
              <w:t xml:space="preserve">ед.</w:t>
            </w:r>
          </w:p>
        </w:tc>
        <w:tc>
          <w:tcPr>
            <w:tcW w:w="1077" w:type="dxa"/>
          </w:tcPr>
          <w:p>
            <w:pPr>
              <w:pStyle w:val="0"/>
              <w:jc w:val="center"/>
            </w:pPr>
            <w:r>
              <w:rPr>
                <w:sz w:val="20"/>
              </w:rPr>
              <w:t xml:space="preserve">3</w:t>
            </w:r>
          </w:p>
        </w:tc>
        <w:tc>
          <w:tcPr>
            <w:tcW w:w="1077" w:type="dxa"/>
          </w:tcPr>
          <w:p>
            <w:pPr>
              <w:pStyle w:val="0"/>
              <w:jc w:val="center"/>
            </w:pPr>
            <w:r>
              <w:rPr>
                <w:sz w:val="20"/>
              </w:rPr>
              <w:t xml:space="preserve">9</w:t>
            </w:r>
          </w:p>
        </w:tc>
        <w:tc>
          <w:tcPr>
            <w:tcW w:w="1191" w:type="dxa"/>
          </w:tcPr>
          <w:p>
            <w:pPr>
              <w:pStyle w:val="0"/>
            </w:pPr>
            <w:r>
              <w:rPr>
                <w:sz w:val="20"/>
              </w:rPr>
              <w:t xml:space="preserve">По итогам конкурсного отбора</w:t>
            </w:r>
          </w:p>
        </w:tc>
      </w:tr>
      <w:tr>
        <w:tc>
          <w:tcPr>
            <w:tcW w:w="566" w:type="dxa"/>
          </w:tcPr>
          <w:p>
            <w:pPr>
              <w:pStyle w:val="0"/>
              <w:jc w:val="center"/>
            </w:pPr>
            <w:r>
              <w:rPr>
                <w:sz w:val="20"/>
              </w:rPr>
              <w:t xml:space="preserve">8.</w:t>
            </w:r>
          </w:p>
        </w:tc>
        <w:tc>
          <w:tcPr>
            <w:tcW w:w="2494" w:type="dxa"/>
          </w:tcPr>
          <w:p>
            <w:pPr>
              <w:pStyle w:val="0"/>
            </w:pPr>
            <w:r>
              <w:rPr>
                <w:sz w:val="20"/>
              </w:rPr>
              <w:t xml:space="preserve">Государственная поддержка отрасли культуры на обеспечение автотранспортом для внестационарного обслуживания населения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Количество приобретенных передвижных многофункциональных культурных центров (автоклубов) для обслуживания сельского населения Владимирской области</w:t>
            </w:r>
          </w:p>
        </w:tc>
        <w:tc>
          <w:tcPr>
            <w:tcW w:w="850" w:type="dxa"/>
          </w:tcPr>
          <w:p>
            <w:pPr>
              <w:pStyle w:val="0"/>
            </w:pPr>
            <w:r>
              <w:rPr>
                <w:sz w:val="20"/>
              </w:rPr>
              <w:t xml:space="preserve">ед.</w:t>
            </w:r>
          </w:p>
        </w:tc>
        <w:tc>
          <w:tcPr>
            <w:tcW w:w="1077" w:type="dxa"/>
          </w:tcPr>
          <w:p>
            <w:pPr>
              <w:pStyle w:val="0"/>
              <w:jc w:val="center"/>
            </w:pPr>
            <w:r>
              <w:rPr>
                <w:sz w:val="20"/>
              </w:rPr>
              <w:t xml:space="preserve">4</w:t>
            </w:r>
          </w:p>
        </w:tc>
        <w:tc>
          <w:tcPr>
            <w:tcW w:w="1077" w:type="dxa"/>
          </w:tcPr>
          <w:p>
            <w:pPr>
              <w:pStyle w:val="0"/>
              <w:jc w:val="center"/>
            </w:pPr>
            <w:r>
              <w:rPr>
                <w:sz w:val="20"/>
              </w:rPr>
              <w:t xml:space="preserve">-</w:t>
            </w:r>
          </w:p>
        </w:tc>
        <w:tc>
          <w:tcPr>
            <w:tcW w:w="1191" w:type="dxa"/>
          </w:tcPr>
          <w:p>
            <w:pPr>
              <w:pStyle w:val="0"/>
            </w:pPr>
            <w:r>
              <w:rPr>
                <w:sz w:val="20"/>
              </w:rPr>
              <w:t xml:space="preserve">-</w:t>
            </w:r>
          </w:p>
        </w:tc>
      </w:tr>
      <w:tr>
        <w:tc>
          <w:tcPr>
            <w:tcW w:w="566" w:type="dxa"/>
          </w:tcPr>
          <w:p>
            <w:pPr>
              <w:pStyle w:val="0"/>
              <w:jc w:val="center"/>
            </w:pPr>
            <w:r>
              <w:rPr>
                <w:sz w:val="20"/>
              </w:rPr>
              <w:t xml:space="preserve">9.</w:t>
            </w:r>
          </w:p>
        </w:tc>
        <w:tc>
          <w:tcPr>
            <w:tcW w:w="2494" w:type="dxa"/>
          </w:tcPr>
          <w:p>
            <w:pPr>
              <w:pStyle w:val="0"/>
            </w:pPr>
            <w:r>
              <w:rPr>
                <w:sz w:val="20"/>
              </w:rPr>
              <w:t xml:space="preserve">Государственная поддержка отрасли культуры на обеспечение учреждений культуры специализированным автотранспортом для обслуживания населения, в том числе сельского населения,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Число единиц автотранспорта, приобретенных для внестационарного обслуживания населения</w:t>
            </w:r>
          </w:p>
        </w:tc>
        <w:tc>
          <w:tcPr>
            <w:tcW w:w="850" w:type="dxa"/>
          </w:tcPr>
          <w:p>
            <w:pPr>
              <w:pStyle w:val="0"/>
            </w:pPr>
            <w:r>
              <w:rPr>
                <w:sz w:val="20"/>
              </w:rPr>
              <w:t xml:space="preserve">ед.</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191" w:type="dxa"/>
          </w:tcPr>
          <w:p>
            <w:pPr>
              <w:pStyle w:val="0"/>
            </w:pPr>
            <w:r>
              <w:rPr>
                <w:sz w:val="20"/>
              </w:rPr>
              <w:t xml:space="preserve">1</w:t>
            </w:r>
          </w:p>
        </w:tc>
      </w:tr>
      <w:tr>
        <w:tc>
          <w:tcPr>
            <w:tcW w:w="566" w:type="dxa"/>
          </w:tcPr>
          <w:p>
            <w:pPr>
              <w:pStyle w:val="0"/>
              <w:jc w:val="center"/>
            </w:pPr>
            <w:r>
              <w:rPr>
                <w:sz w:val="20"/>
              </w:rPr>
              <w:t xml:space="preserve">10.</w:t>
            </w:r>
          </w:p>
        </w:tc>
        <w:tc>
          <w:tcPr>
            <w:tcW w:w="2494" w:type="dxa"/>
          </w:tcPr>
          <w:p>
            <w:pPr>
              <w:pStyle w:val="0"/>
            </w:pPr>
            <w:r>
              <w:rPr>
                <w:sz w:val="20"/>
              </w:rPr>
              <w:t xml:space="preserve">Государственная поддержка отрасли культуры на приобретение музыкальных инструментов, оборудования и материалов для детских школ искусств по видам искусств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Количество оснащенных ДШИ музыкальными инструментами, оборудованием и учебными материалами</w:t>
            </w:r>
          </w:p>
        </w:tc>
        <w:tc>
          <w:tcPr>
            <w:tcW w:w="850" w:type="dxa"/>
          </w:tcPr>
          <w:p>
            <w:pPr>
              <w:pStyle w:val="0"/>
            </w:pPr>
            <w:r>
              <w:rPr>
                <w:sz w:val="20"/>
              </w:rPr>
              <w:t xml:space="preserve">ед.</w:t>
            </w:r>
          </w:p>
        </w:tc>
        <w:tc>
          <w:tcPr>
            <w:tcW w:w="1077" w:type="dxa"/>
          </w:tcPr>
          <w:p>
            <w:pPr>
              <w:pStyle w:val="0"/>
              <w:jc w:val="center"/>
            </w:pPr>
            <w:r>
              <w:rPr>
                <w:sz w:val="20"/>
              </w:rPr>
              <w:t xml:space="preserve">10</w:t>
            </w:r>
          </w:p>
        </w:tc>
        <w:tc>
          <w:tcPr>
            <w:tcW w:w="1077" w:type="dxa"/>
          </w:tcPr>
          <w:p>
            <w:pPr>
              <w:pStyle w:val="0"/>
              <w:jc w:val="center"/>
            </w:pPr>
            <w:r>
              <w:rPr>
                <w:sz w:val="20"/>
              </w:rPr>
              <w:t xml:space="preserve">-</w:t>
            </w:r>
          </w:p>
        </w:tc>
        <w:tc>
          <w:tcPr>
            <w:tcW w:w="1191" w:type="dxa"/>
          </w:tcPr>
          <w:p>
            <w:pPr>
              <w:pStyle w:val="0"/>
            </w:pPr>
            <w:r>
              <w:rPr>
                <w:sz w:val="20"/>
              </w:rPr>
              <w:t xml:space="preserve">10</w:t>
            </w:r>
          </w:p>
        </w:tc>
      </w:tr>
      <w:tr>
        <w:tc>
          <w:tcPr>
            <w:tcW w:w="566" w:type="dxa"/>
          </w:tcPr>
          <w:p>
            <w:pPr>
              <w:pStyle w:val="0"/>
              <w:jc w:val="center"/>
            </w:pPr>
            <w:r>
              <w:rPr>
                <w:sz w:val="20"/>
              </w:rPr>
              <w:t xml:space="preserve">11.</w:t>
            </w:r>
          </w:p>
        </w:tc>
        <w:tc>
          <w:tcPr>
            <w:tcW w:w="2494" w:type="dxa"/>
          </w:tcPr>
          <w:p>
            <w:pPr>
              <w:pStyle w:val="0"/>
            </w:pPr>
            <w:r>
              <w:rPr>
                <w:sz w:val="20"/>
              </w:rPr>
              <w:t xml:space="preserve">Укрепление материально-технической базы муниципальных библиотек области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927"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118" w:type="dxa"/>
          </w:tcPr>
          <w:p>
            <w:pPr>
              <w:pStyle w:val="0"/>
            </w:pPr>
            <w:r>
              <w:rPr>
                <w:sz w:val="20"/>
              </w:rPr>
              <w:t xml:space="preserve">Количество муниципальных библиотек, на которых проводятся мероприятия по капитальному ремонту</w:t>
            </w:r>
          </w:p>
        </w:tc>
        <w:tc>
          <w:tcPr>
            <w:tcW w:w="850" w:type="dxa"/>
          </w:tcPr>
          <w:p>
            <w:pPr>
              <w:pStyle w:val="0"/>
            </w:pPr>
            <w:r>
              <w:rPr>
                <w:sz w:val="20"/>
              </w:rPr>
              <w:t xml:space="preserve">ед.</w:t>
            </w:r>
          </w:p>
        </w:tc>
        <w:tc>
          <w:tcPr>
            <w:tcW w:w="1077" w:type="dxa"/>
          </w:tcPr>
          <w:p>
            <w:pPr>
              <w:pStyle w:val="0"/>
              <w:jc w:val="center"/>
            </w:pPr>
            <w:r>
              <w:rPr>
                <w:sz w:val="20"/>
              </w:rPr>
              <w:t xml:space="preserve">4</w:t>
            </w:r>
          </w:p>
        </w:tc>
        <w:tc>
          <w:tcPr>
            <w:tcW w:w="1077" w:type="dxa"/>
          </w:tcPr>
          <w:p>
            <w:pPr>
              <w:pStyle w:val="0"/>
              <w:jc w:val="center"/>
            </w:pPr>
            <w:r>
              <w:rPr>
                <w:sz w:val="20"/>
              </w:rPr>
              <w:t xml:space="preserve">2</w:t>
            </w:r>
          </w:p>
        </w:tc>
        <w:tc>
          <w:tcPr>
            <w:tcW w:w="1191" w:type="dxa"/>
          </w:tcPr>
          <w:p>
            <w:pPr>
              <w:pStyle w:val="0"/>
            </w:pPr>
            <w:r>
              <w:rPr>
                <w:sz w:val="20"/>
              </w:rPr>
              <w:t xml:space="preserve">-</w:t>
            </w:r>
          </w:p>
        </w:tc>
      </w:tr>
      <w:tr>
        <w:tc>
          <w:tcPr>
            <w:tcW w:w="566" w:type="dxa"/>
          </w:tcPr>
          <w:p>
            <w:pPr>
              <w:pStyle w:val="0"/>
              <w:jc w:val="center"/>
            </w:pPr>
            <w:r>
              <w:rPr>
                <w:sz w:val="20"/>
              </w:rPr>
              <w:t xml:space="preserve">12.</w:t>
            </w:r>
          </w:p>
        </w:tc>
        <w:tc>
          <w:tcPr>
            <w:tcW w:w="2494" w:type="dxa"/>
          </w:tcPr>
          <w:p>
            <w:pPr>
              <w:pStyle w:val="0"/>
            </w:pPr>
            <w:r>
              <w:rPr>
                <w:sz w:val="20"/>
              </w:rPr>
              <w:t xml:space="preserve">Субсидии из областного бюджета бюджетам муниципальных образований Владимирской области на приобретение спортивного оборудования и инвентаря для приведения организаций спортивной подготовки в нормативное состояние</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Закупка оборудования или услуг</w:t>
            </w:r>
          </w:p>
        </w:tc>
        <w:tc>
          <w:tcPr>
            <w:tcW w:w="850" w:type="dxa"/>
          </w:tcPr>
          <w:p>
            <w:pPr>
              <w:pStyle w:val="0"/>
            </w:pPr>
            <w:r>
              <w:rPr>
                <w:sz w:val="20"/>
              </w:rPr>
              <w:t xml:space="preserve">единица</w:t>
            </w:r>
          </w:p>
        </w:tc>
        <w:tc>
          <w:tcPr>
            <w:tcW w:w="1077" w:type="dxa"/>
          </w:tcPr>
          <w:p>
            <w:pPr>
              <w:pStyle w:val="0"/>
              <w:jc w:val="center"/>
            </w:pPr>
            <w:r>
              <w:rPr>
                <w:sz w:val="20"/>
              </w:rPr>
              <w:t xml:space="preserve">3</w:t>
            </w:r>
          </w:p>
        </w:tc>
        <w:tc>
          <w:tcPr>
            <w:tcW w:w="1077" w:type="dxa"/>
          </w:tcPr>
          <w:p>
            <w:pPr>
              <w:pStyle w:val="0"/>
              <w:jc w:val="center"/>
            </w:pPr>
            <w:r>
              <w:rPr>
                <w:sz w:val="20"/>
              </w:rPr>
              <w:t xml:space="preserve">1</w:t>
            </w:r>
          </w:p>
        </w:tc>
        <w:tc>
          <w:tcPr>
            <w:tcW w:w="1191" w:type="dxa"/>
          </w:tcPr>
          <w:p>
            <w:pPr>
              <w:pStyle w:val="0"/>
            </w:pPr>
            <w:r>
              <w:rPr>
                <w:sz w:val="20"/>
              </w:rPr>
              <w:t xml:space="preserve">1</w:t>
            </w:r>
          </w:p>
        </w:tc>
      </w:tr>
      <w:tr>
        <w:tc>
          <w:tcPr>
            <w:tcW w:w="566" w:type="dxa"/>
          </w:tcPr>
          <w:p>
            <w:pPr>
              <w:pStyle w:val="0"/>
              <w:jc w:val="center"/>
            </w:pPr>
            <w:r>
              <w:rPr>
                <w:sz w:val="20"/>
              </w:rPr>
              <w:t xml:space="preserve">13.</w:t>
            </w:r>
          </w:p>
        </w:tc>
        <w:tc>
          <w:tcPr>
            <w:tcW w:w="2494" w:type="dxa"/>
          </w:tcPr>
          <w:p>
            <w:pPr>
              <w:pStyle w:val="0"/>
            </w:pPr>
            <w:r>
              <w:rPr>
                <w:sz w:val="20"/>
              </w:rPr>
              <w:t xml:space="preserve">Субсидии из областного бюджета бюджетам муниципальных образований Владимирской области на оснащение объектов спортивной инфраструктуры спортивно-технологическим оборудованием</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Закупка оборудования или услуг</w:t>
            </w:r>
          </w:p>
        </w:tc>
        <w:tc>
          <w:tcPr>
            <w:tcW w:w="850" w:type="dxa"/>
          </w:tcPr>
          <w:p>
            <w:pPr>
              <w:pStyle w:val="0"/>
            </w:pPr>
            <w:r>
              <w:rPr>
                <w:sz w:val="20"/>
              </w:rPr>
              <w:t xml:space="preserve">единица</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c>
          <w:tcPr>
            <w:tcW w:w="1191" w:type="dxa"/>
          </w:tcPr>
          <w:p>
            <w:pPr>
              <w:pStyle w:val="0"/>
            </w:pPr>
            <w:r>
              <w:rPr>
                <w:sz w:val="20"/>
              </w:rPr>
              <w:t xml:space="preserve">2</w:t>
            </w:r>
          </w:p>
        </w:tc>
      </w:tr>
      <w:tr>
        <w:tc>
          <w:tcPr>
            <w:tcW w:w="566" w:type="dxa"/>
          </w:tcPr>
          <w:p>
            <w:pPr>
              <w:pStyle w:val="0"/>
              <w:jc w:val="center"/>
            </w:pPr>
            <w:r>
              <w:rPr>
                <w:sz w:val="20"/>
              </w:rPr>
              <w:t xml:space="preserve">14.</w:t>
            </w:r>
          </w:p>
        </w:tc>
        <w:tc>
          <w:tcPr>
            <w:tcW w:w="2494" w:type="dxa"/>
          </w:tcPr>
          <w:p>
            <w:pPr>
              <w:pStyle w:val="0"/>
            </w:pPr>
            <w:r>
              <w:rPr>
                <w:sz w:val="20"/>
              </w:rPr>
              <w:t xml:space="preserve">Субсидии из областного бюджета бюджетам муниципальных образований Владимирской области на реализацию программ спортивной подготовки в соответствии с требованиями федеральных стандартов спортивной подготовки</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Количество спортсменов, включенных в списки кандидатов в спортивные сборные команды Российской Федерации по видам спорта</w:t>
            </w:r>
          </w:p>
        </w:tc>
        <w:tc>
          <w:tcPr>
            <w:tcW w:w="850" w:type="dxa"/>
          </w:tcPr>
          <w:p>
            <w:pPr>
              <w:pStyle w:val="0"/>
            </w:pPr>
            <w:r>
              <w:rPr>
                <w:sz w:val="20"/>
              </w:rPr>
              <w:t xml:space="preserve">человек</w:t>
            </w:r>
          </w:p>
        </w:tc>
        <w:tc>
          <w:tcPr>
            <w:tcW w:w="1077" w:type="dxa"/>
          </w:tcPr>
          <w:p>
            <w:pPr>
              <w:pStyle w:val="0"/>
              <w:jc w:val="center"/>
            </w:pPr>
            <w:r>
              <w:rPr>
                <w:sz w:val="20"/>
              </w:rPr>
              <w:t xml:space="preserve">58</w:t>
            </w:r>
          </w:p>
        </w:tc>
        <w:tc>
          <w:tcPr>
            <w:tcW w:w="1077" w:type="dxa"/>
          </w:tcPr>
          <w:p>
            <w:pPr>
              <w:pStyle w:val="0"/>
              <w:jc w:val="center"/>
            </w:pPr>
            <w:r>
              <w:rPr>
                <w:sz w:val="20"/>
              </w:rPr>
              <w:t xml:space="preserve">58</w:t>
            </w:r>
          </w:p>
        </w:tc>
        <w:tc>
          <w:tcPr>
            <w:tcW w:w="1191" w:type="dxa"/>
          </w:tcPr>
          <w:p>
            <w:pPr>
              <w:pStyle w:val="0"/>
            </w:pPr>
            <w:r>
              <w:rPr>
                <w:sz w:val="20"/>
              </w:rPr>
              <w:t xml:space="preserve">58</w:t>
            </w:r>
          </w:p>
        </w:tc>
      </w:tr>
      <w:tr>
        <w:tc>
          <w:tcPr>
            <w:tcW w:w="566" w:type="dxa"/>
          </w:tcPr>
          <w:p>
            <w:pPr>
              <w:pStyle w:val="0"/>
              <w:jc w:val="center"/>
            </w:pPr>
            <w:r>
              <w:rPr>
                <w:sz w:val="20"/>
              </w:rPr>
              <w:t xml:space="preserve">15.</w:t>
            </w:r>
          </w:p>
        </w:tc>
        <w:tc>
          <w:tcPr>
            <w:tcW w:w="2494" w:type="dxa"/>
          </w:tcPr>
          <w:p>
            <w:pPr>
              <w:pStyle w:val="0"/>
            </w:pPr>
            <w:r>
              <w:rPr>
                <w:sz w:val="20"/>
              </w:rPr>
              <w:t xml:space="preserve">Субсидии из областного бюджета бюджетам муниципальных образований Владимирской области на приведение муниципальных учреждений спортивной подготовки в нормативное состояние</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Доля занимающихся по программам спортивной подготовки в организациях ведомственной принадлежности физической культуры и спорта, в общем количестве занимающихся в организациях ведомственной принадлежности физической культуры и спорта</w:t>
            </w:r>
          </w:p>
        </w:tc>
        <w:tc>
          <w:tcPr>
            <w:tcW w:w="850" w:type="dxa"/>
          </w:tcPr>
          <w:p>
            <w:pPr>
              <w:pStyle w:val="0"/>
            </w:pPr>
            <w:r>
              <w:rPr>
                <w:sz w:val="20"/>
              </w:rPr>
              <w:t xml:space="preserve">%</w:t>
            </w:r>
          </w:p>
        </w:tc>
        <w:tc>
          <w:tcPr>
            <w:tcW w:w="1077" w:type="dxa"/>
          </w:tcPr>
          <w:p>
            <w:pPr>
              <w:pStyle w:val="0"/>
              <w:jc w:val="center"/>
            </w:pPr>
            <w:r>
              <w:rPr>
                <w:sz w:val="20"/>
              </w:rPr>
              <w:t xml:space="preserve">79</w:t>
            </w:r>
          </w:p>
        </w:tc>
        <w:tc>
          <w:tcPr>
            <w:tcW w:w="1077" w:type="dxa"/>
          </w:tcPr>
          <w:p>
            <w:pPr>
              <w:pStyle w:val="0"/>
              <w:jc w:val="center"/>
            </w:pPr>
            <w:r>
              <w:rPr>
                <w:sz w:val="20"/>
              </w:rPr>
              <w:t xml:space="preserve">79</w:t>
            </w:r>
          </w:p>
        </w:tc>
        <w:tc>
          <w:tcPr>
            <w:tcW w:w="1191" w:type="dxa"/>
          </w:tcPr>
          <w:p>
            <w:pPr>
              <w:pStyle w:val="0"/>
            </w:pPr>
            <w:r>
              <w:rPr>
                <w:sz w:val="20"/>
              </w:rPr>
              <w:t xml:space="preserve">79</w:t>
            </w:r>
          </w:p>
        </w:tc>
      </w:tr>
      <w:tr>
        <w:tc>
          <w:tcPr>
            <w:tcW w:w="566" w:type="dxa"/>
          </w:tcPr>
          <w:p>
            <w:pPr>
              <w:pStyle w:val="0"/>
              <w:jc w:val="center"/>
            </w:pPr>
            <w:r>
              <w:rPr>
                <w:sz w:val="20"/>
              </w:rPr>
              <w:t xml:space="preserve">16.</w:t>
            </w:r>
          </w:p>
        </w:tc>
        <w:tc>
          <w:tcPr>
            <w:tcW w:w="2494" w:type="dxa"/>
          </w:tcPr>
          <w:p>
            <w:pPr>
              <w:pStyle w:val="0"/>
            </w:pPr>
            <w:r>
              <w:rPr>
                <w:sz w:val="20"/>
              </w:rPr>
              <w:t xml:space="preserve">Субсидии на создание и модернизацию объектов спортивной инфраструктуры муниципальной собственности для занятий физической культурой и спортом (за счет средств областного бюджета)</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Построены и введены в эксплуатацию объекты спорта муниципальной собственности</w:t>
            </w:r>
          </w:p>
        </w:tc>
        <w:tc>
          <w:tcPr>
            <w:tcW w:w="850" w:type="dxa"/>
          </w:tcPr>
          <w:p>
            <w:pPr>
              <w:pStyle w:val="0"/>
            </w:pPr>
            <w:r>
              <w:rPr>
                <w:sz w:val="20"/>
              </w:rPr>
              <w:t xml:space="preserve">единица</w:t>
            </w:r>
          </w:p>
        </w:tc>
        <w:tc>
          <w:tcPr>
            <w:tcW w:w="1077" w:type="dxa"/>
          </w:tcPr>
          <w:p>
            <w:pPr>
              <w:pStyle w:val="0"/>
              <w:jc w:val="center"/>
            </w:pPr>
            <w:r>
              <w:rPr>
                <w:sz w:val="20"/>
              </w:rPr>
              <w:t xml:space="preserve">7</w:t>
            </w:r>
          </w:p>
        </w:tc>
        <w:tc>
          <w:tcPr>
            <w:tcW w:w="1077" w:type="dxa"/>
          </w:tcPr>
          <w:p>
            <w:pPr>
              <w:pStyle w:val="0"/>
              <w:jc w:val="center"/>
            </w:pPr>
            <w:r>
              <w:rPr>
                <w:sz w:val="20"/>
              </w:rPr>
              <w:t xml:space="preserve">3</w:t>
            </w:r>
          </w:p>
        </w:tc>
        <w:tc>
          <w:tcPr>
            <w:tcW w:w="1191" w:type="dxa"/>
          </w:tcPr>
          <w:p>
            <w:pPr>
              <w:pStyle w:val="0"/>
            </w:pPr>
            <w:r>
              <w:rPr>
                <w:sz w:val="20"/>
              </w:rPr>
              <w:t xml:space="preserve">3</w:t>
            </w:r>
          </w:p>
        </w:tc>
      </w:tr>
      <w:tr>
        <w:tc>
          <w:tcPr>
            <w:tcW w:w="566" w:type="dxa"/>
          </w:tcPr>
          <w:p>
            <w:pPr>
              <w:pStyle w:val="0"/>
              <w:jc w:val="center"/>
            </w:pPr>
            <w:r>
              <w:rPr>
                <w:sz w:val="20"/>
              </w:rPr>
              <w:t xml:space="preserve">17.</w:t>
            </w:r>
          </w:p>
        </w:tc>
        <w:tc>
          <w:tcPr>
            <w:tcW w:w="2494" w:type="dxa"/>
          </w:tcPr>
          <w:p>
            <w:pPr>
              <w:pStyle w:val="0"/>
            </w:pPr>
            <w:r>
              <w:rPr>
                <w:sz w:val="20"/>
              </w:rPr>
              <w:t xml:space="preserve">Субсидия на развитие базовых и олимпийских видов спорта в МБУ г. Коврова "СШОР дзюдо, самбо им. А.М. Рыбина"</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Доля занимающихся по программам спортивной подготовки в МБУ г. Коврова "СШОР дзюдо, самбо им. А.М. Рыбина" на этапе совершенствования спортивного мастерства от общего количества</w:t>
            </w:r>
          </w:p>
        </w:tc>
        <w:tc>
          <w:tcPr>
            <w:tcW w:w="850" w:type="dxa"/>
          </w:tcPr>
          <w:p>
            <w:pPr>
              <w:pStyle w:val="0"/>
            </w:pPr>
            <w:r>
              <w:rPr>
                <w:sz w:val="20"/>
              </w:rPr>
              <w:t xml:space="preserve">%</w:t>
            </w:r>
          </w:p>
        </w:tc>
        <w:tc>
          <w:tcPr>
            <w:tcW w:w="1077" w:type="dxa"/>
          </w:tcPr>
          <w:p>
            <w:pPr>
              <w:pStyle w:val="0"/>
              <w:jc w:val="center"/>
            </w:pPr>
            <w:r>
              <w:rPr>
                <w:sz w:val="20"/>
              </w:rPr>
              <w:t xml:space="preserve">4,5</w:t>
            </w:r>
          </w:p>
        </w:tc>
        <w:tc>
          <w:tcPr>
            <w:tcW w:w="1077" w:type="dxa"/>
          </w:tcPr>
          <w:p>
            <w:pPr>
              <w:pStyle w:val="0"/>
              <w:jc w:val="center"/>
            </w:pPr>
            <w:r>
              <w:rPr>
                <w:sz w:val="20"/>
              </w:rPr>
              <w:t xml:space="preserve">4,5</w:t>
            </w:r>
          </w:p>
        </w:tc>
        <w:tc>
          <w:tcPr>
            <w:tcW w:w="1191" w:type="dxa"/>
          </w:tcPr>
          <w:p>
            <w:pPr>
              <w:pStyle w:val="0"/>
            </w:pPr>
            <w:r>
              <w:rPr>
                <w:sz w:val="20"/>
              </w:rPr>
              <w:t xml:space="preserve">4,5</w:t>
            </w:r>
          </w:p>
        </w:tc>
      </w:tr>
      <w:tr>
        <w:tc>
          <w:tcPr>
            <w:tcW w:w="566" w:type="dxa"/>
          </w:tcPr>
          <w:p>
            <w:pPr>
              <w:pStyle w:val="0"/>
              <w:jc w:val="center"/>
            </w:pPr>
            <w:r>
              <w:rPr>
                <w:sz w:val="20"/>
              </w:rPr>
              <w:t xml:space="preserve">18.</w:t>
            </w:r>
          </w:p>
        </w:tc>
        <w:tc>
          <w:tcPr>
            <w:tcW w:w="2494" w:type="dxa"/>
          </w:tcPr>
          <w:p>
            <w:pPr>
              <w:pStyle w:val="0"/>
            </w:pPr>
            <w:r>
              <w:rPr>
                <w:sz w:val="20"/>
              </w:rPr>
              <w:t xml:space="preserve">Субсидия на развитие спортивной и художественной гимнастики в административном центре Владимирской области</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Доля занимающихся по программам спортивной подготовки в СШОР на этапе совершенствования спортивного мастерства от общего количества</w:t>
            </w:r>
          </w:p>
        </w:tc>
        <w:tc>
          <w:tcPr>
            <w:tcW w:w="850" w:type="dxa"/>
          </w:tcPr>
          <w:p>
            <w:pPr>
              <w:pStyle w:val="0"/>
            </w:pPr>
            <w:r>
              <w:rPr>
                <w:sz w:val="20"/>
              </w:rPr>
              <w:t xml:space="preserve">%</w:t>
            </w:r>
          </w:p>
        </w:tc>
        <w:tc>
          <w:tcPr>
            <w:tcW w:w="1077" w:type="dxa"/>
          </w:tcPr>
          <w:p>
            <w:pPr>
              <w:pStyle w:val="0"/>
              <w:jc w:val="center"/>
            </w:pPr>
            <w:r>
              <w:rPr>
                <w:sz w:val="20"/>
              </w:rPr>
              <w:t xml:space="preserve">7</w:t>
            </w:r>
          </w:p>
        </w:tc>
        <w:tc>
          <w:tcPr>
            <w:tcW w:w="1077" w:type="dxa"/>
          </w:tcPr>
          <w:p>
            <w:pPr>
              <w:pStyle w:val="0"/>
              <w:jc w:val="center"/>
            </w:pPr>
            <w:r>
              <w:rPr>
                <w:sz w:val="20"/>
              </w:rPr>
              <w:t xml:space="preserve">7</w:t>
            </w:r>
          </w:p>
        </w:tc>
        <w:tc>
          <w:tcPr>
            <w:tcW w:w="1191" w:type="dxa"/>
          </w:tcPr>
          <w:p>
            <w:pPr>
              <w:pStyle w:val="0"/>
            </w:pPr>
            <w:r>
              <w:rPr>
                <w:sz w:val="20"/>
              </w:rPr>
              <w:t xml:space="preserve">7</w:t>
            </w:r>
          </w:p>
        </w:tc>
      </w:tr>
      <w:tr>
        <w:tc>
          <w:tcPr>
            <w:tcW w:w="566" w:type="dxa"/>
          </w:tcPr>
          <w:p>
            <w:pPr>
              <w:pStyle w:val="0"/>
              <w:jc w:val="center"/>
            </w:pPr>
            <w:r>
              <w:rPr>
                <w:sz w:val="20"/>
              </w:rPr>
              <w:t xml:space="preserve">19.</w:t>
            </w:r>
          </w:p>
        </w:tc>
        <w:tc>
          <w:tcPr>
            <w:tcW w:w="2494"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 (в том числе за счет средств федерального бюджета)</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Построены и введены в эксплуатацию объекты спорта муниципальной собственности</w:t>
            </w:r>
          </w:p>
        </w:tc>
        <w:tc>
          <w:tcPr>
            <w:tcW w:w="850" w:type="dxa"/>
          </w:tcPr>
          <w:p>
            <w:pPr>
              <w:pStyle w:val="0"/>
            </w:pPr>
            <w:r>
              <w:rPr>
                <w:sz w:val="20"/>
              </w:rPr>
              <w:t xml:space="preserve">единица</w:t>
            </w:r>
          </w:p>
        </w:tc>
        <w:tc>
          <w:tcPr>
            <w:tcW w:w="1077" w:type="dxa"/>
          </w:tcPr>
          <w:p>
            <w:pPr>
              <w:pStyle w:val="0"/>
              <w:jc w:val="center"/>
            </w:pPr>
            <w:r>
              <w:rPr>
                <w:sz w:val="20"/>
              </w:rPr>
              <w:t xml:space="preserve">-</w:t>
            </w:r>
          </w:p>
        </w:tc>
        <w:tc>
          <w:tcPr>
            <w:tcW w:w="1077" w:type="dxa"/>
          </w:tcPr>
          <w:p>
            <w:pPr>
              <w:pStyle w:val="0"/>
              <w:jc w:val="center"/>
            </w:pPr>
            <w:r>
              <w:rPr>
                <w:sz w:val="20"/>
              </w:rPr>
              <w:t xml:space="preserve">1</w:t>
            </w:r>
          </w:p>
        </w:tc>
        <w:tc>
          <w:tcPr>
            <w:tcW w:w="1191" w:type="dxa"/>
          </w:tcPr>
          <w:p>
            <w:pPr>
              <w:pStyle w:val="0"/>
            </w:pPr>
            <w:r>
              <w:rPr>
                <w:sz w:val="20"/>
              </w:rPr>
              <w:t xml:space="preserve">-</w:t>
            </w:r>
          </w:p>
        </w:tc>
      </w:tr>
      <w:tr>
        <w:tc>
          <w:tcPr>
            <w:tcW w:w="566" w:type="dxa"/>
          </w:tcPr>
          <w:p>
            <w:pPr>
              <w:pStyle w:val="0"/>
              <w:jc w:val="center"/>
            </w:pPr>
            <w:r>
              <w:rPr>
                <w:sz w:val="20"/>
              </w:rPr>
              <w:t xml:space="preserve">20.</w:t>
            </w:r>
          </w:p>
        </w:tc>
        <w:tc>
          <w:tcPr>
            <w:tcW w:w="2494"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927"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118" w:type="dxa"/>
          </w:tcPr>
          <w:p>
            <w:pPr>
              <w:pStyle w:val="0"/>
            </w:pPr>
            <w:r>
              <w:rPr>
                <w:sz w:val="20"/>
              </w:rPr>
              <w:t xml:space="preserve">Доля занимающихся по программам спортивной подготовки в муниципальном бюджетном учреждении "Спортивная школа олимпийского резерва имени А.А. Прокуророва" на этапе совершенствования спортивного мастерства от общего количества занимающихся по программам спортивной подготовки в учреждении</w:t>
            </w:r>
          </w:p>
        </w:tc>
        <w:tc>
          <w:tcPr>
            <w:tcW w:w="850" w:type="dxa"/>
          </w:tcPr>
          <w:p>
            <w:pPr>
              <w:pStyle w:val="0"/>
            </w:pPr>
            <w:r>
              <w:rPr>
                <w:sz w:val="20"/>
              </w:rPr>
              <w:t xml:space="preserve">%</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c>
          <w:tcPr>
            <w:tcW w:w="1191" w:type="dxa"/>
          </w:tcPr>
          <w:p>
            <w:pPr>
              <w:pStyle w:val="0"/>
            </w:pPr>
            <w:r>
              <w:rPr>
                <w:sz w:val="20"/>
              </w:rPr>
              <w:t xml:space="preserve">2</w:t>
            </w:r>
          </w:p>
        </w:tc>
      </w:tr>
      <w:tr>
        <w:tc>
          <w:tcPr>
            <w:tcW w:w="566" w:type="dxa"/>
            <w:vMerge w:val="restart"/>
          </w:tcPr>
          <w:p>
            <w:pPr>
              <w:pStyle w:val="0"/>
              <w:jc w:val="center"/>
            </w:pPr>
            <w:r>
              <w:rPr>
                <w:sz w:val="20"/>
              </w:rPr>
              <w:t xml:space="preserve">21.</w:t>
            </w:r>
          </w:p>
        </w:tc>
        <w:tc>
          <w:tcPr>
            <w:tcW w:w="2494" w:type="dxa"/>
            <w:vMerge w:val="restart"/>
          </w:tcPr>
          <w:p>
            <w:pPr>
              <w:pStyle w:val="0"/>
            </w:pPr>
            <w:r>
              <w:rPr>
                <w:sz w:val="20"/>
              </w:rPr>
              <w:t xml:space="preserve">Субсидии на поддержку приоритетных направлений развития отрасли образования</w:t>
            </w:r>
          </w:p>
        </w:tc>
        <w:tc>
          <w:tcPr>
            <w:tcW w:w="1927" w:type="dxa"/>
            <w:vMerge w:val="restart"/>
          </w:tcPr>
          <w:p>
            <w:pPr>
              <w:pStyle w:val="0"/>
            </w:pPr>
            <w:r>
              <w:rPr>
                <w:sz w:val="20"/>
              </w:rPr>
              <w:t xml:space="preserve">Государственная программа Владимирской области "Развитие образования"</w:t>
            </w:r>
          </w:p>
        </w:tc>
        <w:tc>
          <w:tcPr>
            <w:tcW w:w="1247" w:type="dxa"/>
            <w:vMerge w:val="restart"/>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Удельный вес учащихся 1 - 4 классов, обеспеченных горячим питанием, от общей численности обучающихся данной возрастной категории</w:t>
            </w:r>
          </w:p>
        </w:tc>
        <w:tc>
          <w:tcPr>
            <w:tcW w:w="850" w:type="dxa"/>
          </w:tcPr>
          <w:p>
            <w:pPr>
              <w:pStyle w:val="0"/>
            </w:pPr>
            <w:r>
              <w:rPr>
                <w:sz w:val="20"/>
              </w:rPr>
              <w:t xml:space="preserve">%</w:t>
            </w:r>
          </w:p>
        </w:tc>
        <w:tc>
          <w:tcPr>
            <w:tcW w:w="1077" w:type="dxa"/>
          </w:tcPr>
          <w:p>
            <w:pPr>
              <w:pStyle w:val="0"/>
              <w:jc w:val="center"/>
            </w:pPr>
            <w:r>
              <w:rPr>
                <w:sz w:val="20"/>
              </w:rPr>
              <w:t xml:space="preserve">89,7</w:t>
            </w:r>
          </w:p>
        </w:tc>
        <w:tc>
          <w:tcPr>
            <w:tcW w:w="1077" w:type="dxa"/>
          </w:tcPr>
          <w:p>
            <w:pPr>
              <w:pStyle w:val="0"/>
              <w:jc w:val="center"/>
            </w:pPr>
            <w:r>
              <w:rPr>
                <w:sz w:val="20"/>
              </w:rPr>
              <w:t xml:space="preserve">89,9</w:t>
            </w:r>
          </w:p>
        </w:tc>
        <w:tc>
          <w:tcPr>
            <w:tcW w:w="1191" w:type="dxa"/>
          </w:tcPr>
          <w:p>
            <w:pPr>
              <w:pStyle w:val="0"/>
            </w:pPr>
            <w:r>
              <w:rPr>
                <w:sz w:val="20"/>
              </w:rPr>
              <w:t xml:space="preserve">90,1</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Удельный вес детей школьного возраста, подлежащих отдыху в организациях отдыха детей и их оздоровления в каникулярный период за счет средств субсидии из областного бюджета бюджетам муниципальных образований на организацию отдыха детей в каникулярное время (к общему числу детей от 7 до 17 лет)</w:t>
            </w:r>
          </w:p>
        </w:tc>
        <w:tc>
          <w:tcPr>
            <w:tcW w:w="850" w:type="dxa"/>
          </w:tcPr>
          <w:p>
            <w:pPr>
              <w:pStyle w:val="0"/>
            </w:pPr>
            <w:r>
              <w:rPr>
                <w:sz w:val="20"/>
              </w:rPr>
              <w:t xml:space="preserve">%</w:t>
            </w:r>
          </w:p>
        </w:tc>
        <w:tc>
          <w:tcPr>
            <w:tcW w:w="1077" w:type="dxa"/>
          </w:tcPr>
          <w:p>
            <w:pPr>
              <w:pStyle w:val="0"/>
              <w:jc w:val="center"/>
            </w:pPr>
            <w:r>
              <w:rPr>
                <w:sz w:val="20"/>
              </w:rPr>
              <w:t xml:space="preserve">48</w:t>
            </w:r>
          </w:p>
        </w:tc>
        <w:tc>
          <w:tcPr>
            <w:tcW w:w="1077" w:type="dxa"/>
          </w:tcPr>
          <w:p>
            <w:pPr>
              <w:pStyle w:val="0"/>
              <w:jc w:val="center"/>
            </w:pPr>
            <w:r>
              <w:rPr>
                <w:sz w:val="20"/>
              </w:rPr>
              <w:t xml:space="preserve">48</w:t>
            </w:r>
          </w:p>
        </w:tc>
        <w:tc>
          <w:tcPr>
            <w:tcW w:w="1191" w:type="dxa"/>
          </w:tcPr>
          <w:p>
            <w:pPr>
              <w:pStyle w:val="0"/>
            </w:pPr>
            <w:r>
              <w:rPr>
                <w:sz w:val="20"/>
              </w:rPr>
              <w:t xml:space="preserve">48</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Удельный вес обучающихся в организациях по образовательным программам начального общего, основного общего, среднего общего образования, подлежащих культурно-экскурсионному обслуживанию в каникулярный период за счет средств субсидий из областного бюджета бюджетам муниципальных образований на организацию отдыха детей в каникулярное время (к общему числу обучающихся 1 - 11 классов в организациях по образовательным программам начального общего, основного общего, среднего общего образования)</w:t>
            </w:r>
          </w:p>
        </w:tc>
        <w:tc>
          <w:tcPr>
            <w:tcW w:w="850" w:type="dxa"/>
          </w:tcPr>
          <w:p>
            <w:pPr>
              <w:pStyle w:val="0"/>
            </w:pPr>
            <w:r>
              <w:rPr>
                <w:sz w:val="20"/>
              </w:rPr>
              <w:t xml:space="preserve">%</w:t>
            </w:r>
          </w:p>
        </w:tc>
        <w:tc>
          <w:tcPr>
            <w:tcW w:w="1077" w:type="dxa"/>
          </w:tcPr>
          <w:p>
            <w:pPr>
              <w:pStyle w:val="0"/>
              <w:jc w:val="center"/>
            </w:pPr>
            <w:r>
              <w:rPr>
                <w:sz w:val="20"/>
              </w:rPr>
              <w:t xml:space="preserve">30</w:t>
            </w:r>
          </w:p>
        </w:tc>
        <w:tc>
          <w:tcPr>
            <w:tcW w:w="1077" w:type="dxa"/>
          </w:tcPr>
          <w:p>
            <w:pPr>
              <w:pStyle w:val="0"/>
              <w:jc w:val="center"/>
            </w:pPr>
            <w:r>
              <w:rPr>
                <w:sz w:val="20"/>
              </w:rPr>
              <w:t xml:space="preserve">30</w:t>
            </w:r>
          </w:p>
        </w:tc>
        <w:tc>
          <w:tcPr>
            <w:tcW w:w="1191" w:type="dxa"/>
          </w:tcPr>
          <w:p>
            <w:pPr>
              <w:pStyle w:val="0"/>
            </w:pPr>
            <w:r>
              <w:rPr>
                <w:sz w:val="20"/>
              </w:rPr>
              <w:t xml:space="preserve">30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Отношение среднемесячной заработной платы педагогических работников государственных (муниципальных) организаций дополнительного образования к средней заработной плате учителей во Владимирской области</w:t>
            </w:r>
          </w:p>
        </w:tc>
        <w:tc>
          <w:tcPr>
            <w:tcW w:w="850"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191" w:type="dxa"/>
          </w:tcPr>
          <w:p>
            <w:pPr>
              <w:pStyle w:val="0"/>
            </w:pPr>
            <w:r>
              <w:rPr>
                <w:sz w:val="20"/>
              </w:rPr>
              <w:t xml:space="preserve">100</w:t>
            </w:r>
          </w:p>
        </w:tc>
      </w:tr>
      <w:tr>
        <w:tc>
          <w:tcPr>
            <w:tcW w:w="566" w:type="dxa"/>
          </w:tcPr>
          <w:p>
            <w:pPr>
              <w:pStyle w:val="0"/>
              <w:jc w:val="center"/>
            </w:pPr>
            <w:r>
              <w:rPr>
                <w:sz w:val="20"/>
              </w:rPr>
              <w:t xml:space="preserve">22.</w:t>
            </w:r>
          </w:p>
        </w:tc>
        <w:tc>
          <w:tcPr>
            <w:tcW w:w="2494"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1927"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Доля обучающихся, обеспеченных подвозом к общеобразовательным организациям школьными автобусами, в общей численности обучающихся, нуждающихся в подвозе</w:t>
            </w:r>
          </w:p>
        </w:tc>
        <w:tc>
          <w:tcPr>
            <w:tcW w:w="850" w:type="dxa"/>
          </w:tcPr>
          <w:p>
            <w:pPr>
              <w:pStyle w:val="0"/>
            </w:pPr>
            <w:r>
              <w:rPr>
                <w:sz w:val="20"/>
              </w:rPr>
              <w:t xml:space="preserve">%</w:t>
            </w:r>
          </w:p>
        </w:tc>
        <w:tc>
          <w:tcPr>
            <w:tcW w:w="1077" w:type="dxa"/>
          </w:tcPr>
          <w:p>
            <w:pPr>
              <w:pStyle w:val="0"/>
              <w:jc w:val="center"/>
            </w:pPr>
            <w:r>
              <w:rPr>
                <w:sz w:val="20"/>
              </w:rPr>
              <w:t xml:space="preserve">90,2</w:t>
            </w:r>
          </w:p>
        </w:tc>
        <w:tc>
          <w:tcPr>
            <w:tcW w:w="1077" w:type="dxa"/>
          </w:tcPr>
          <w:p>
            <w:pPr>
              <w:pStyle w:val="0"/>
              <w:jc w:val="center"/>
            </w:pPr>
            <w:r>
              <w:rPr>
                <w:sz w:val="20"/>
              </w:rPr>
              <w:t xml:space="preserve">90,3</w:t>
            </w:r>
          </w:p>
        </w:tc>
        <w:tc>
          <w:tcPr>
            <w:tcW w:w="1191" w:type="dxa"/>
          </w:tcPr>
          <w:p>
            <w:pPr>
              <w:pStyle w:val="0"/>
            </w:pPr>
            <w:r>
              <w:rPr>
                <w:sz w:val="20"/>
              </w:rPr>
              <w:t xml:space="preserve">90,3</w:t>
            </w:r>
          </w:p>
        </w:tc>
      </w:tr>
      <w:tr>
        <w:tc>
          <w:tcPr>
            <w:tcW w:w="566" w:type="dxa"/>
          </w:tcPr>
          <w:p>
            <w:pPr>
              <w:pStyle w:val="0"/>
              <w:jc w:val="center"/>
            </w:pPr>
            <w:r>
              <w:rPr>
                <w:sz w:val="20"/>
              </w:rPr>
              <w:t xml:space="preserve">23.</w:t>
            </w:r>
          </w:p>
        </w:tc>
        <w:tc>
          <w:tcPr>
            <w:tcW w:w="2494" w:type="dxa"/>
          </w:tcPr>
          <w:p>
            <w:pPr>
              <w:pStyle w:val="0"/>
            </w:pPr>
            <w:r>
              <w:rPr>
                <w:sz w:val="20"/>
              </w:rPr>
              <w:t xml:space="preserve">Субсидии на обеспечение профилактики детского дорожно-транспортного травматизма</w:t>
            </w:r>
          </w:p>
        </w:tc>
        <w:tc>
          <w:tcPr>
            <w:tcW w:w="1927"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247" w:type="dxa"/>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Число детей, погибших в дорожно-транспортных происшествиях</w:t>
            </w:r>
          </w:p>
        </w:tc>
        <w:tc>
          <w:tcPr>
            <w:tcW w:w="850" w:type="dxa"/>
          </w:tcPr>
          <w:p>
            <w:pPr>
              <w:pStyle w:val="0"/>
            </w:pPr>
            <w:r>
              <w:rPr>
                <w:sz w:val="20"/>
              </w:rPr>
              <w:t xml:space="preserve">чел.</w:t>
            </w:r>
          </w:p>
        </w:tc>
        <w:tc>
          <w:tcPr>
            <w:tcW w:w="1077" w:type="dxa"/>
          </w:tcPr>
          <w:p>
            <w:pPr>
              <w:pStyle w:val="0"/>
              <w:jc w:val="center"/>
            </w:pPr>
            <w:r>
              <w:rPr>
                <w:sz w:val="20"/>
              </w:rPr>
              <w:t xml:space="preserve">6</w:t>
            </w:r>
          </w:p>
        </w:tc>
        <w:tc>
          <w:tcPr>
            <w:tcW w:w="1077" w:type="dxa"/>
          </w:tcPr>
          <w:p>
            <w:pPr>
              <w:pStyle w:val="0"/>
              <w:jc w:val="center"/>
            </w:pPr>
            <w:r>
              <w:rPr>
                <w:sz w:val="20"/>
              </w:rPr>
              <w:t xml:space="preserve">-</w:t>
            </w:r>
          </w:p>
        </w:tc>
        <w:tc>
          <w:tcPr>
            <w:tcW w:w="1191" w:type="dxa"/>
          </w:tcPr>
          <w:p>
            <w:pPr>
              <w:pStyle w:val="0"/>
            </w:pPr>
            <w:r>
              <w:rPr>
                <w:sz w:val="20"/>
              </w:rPr>
              <w:t xml:space="preserve">-</w:t>
            </w:r>
          </w:p>
        </w:tc>
      </w:tr>
      <w:tr>
        <w:tc>
          <w:tcPr>
            <w:tcW w:w="566" w:type="dxa"/>
          </w:tcPr>
          <w:p>
            <w:pPr>
              <w:pStyle w:val="0"/>
              <w:jc w:val="center"/>
            </w:pPr>
            <w:r>
              <w:rPr>
                <w:sz w:val="20"/>
              </w:rPr>
              <w:t xml:space="preserve">24.</w:t>
            </w:r>
          </w:p>
        </w:tc>
        <w:tc>
          <w:tcPr>
            <w:tcW w:w="2494"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927"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Количество общеобразовательных организаций, обновивших материально-техническую базу для занятий физкультурой и спортом, нарастающим итогом</w:t>
            </w:r>
          </w:p>
        </w:tc>
        <w:tc>
          <w:tcPr>
            <w:tcW w:w="850" w:type="dxa"/>
          </w:tcPr>
          <w:p>
            <w:pPr>
              <w:pStyle w:val="0"/>
            </w:pPr>
            <w:r>
              <w:rPr>
                <w:sz w:val="20"/>
              </w:rPr>
              <w:t xml:space="preserve">ед.</w:t>
            </w:r>
          </w:p>
        </w:tc>
        <w:tc>
          <w:tcPr>
            <w:tcW w:w="1077" w:type="dxa"/>
          </w:tcPr>
          <w:p>
            <w:pPr>
              <w:pStyle w:val="0"/>
              <w:jc w:val="center"/>
            </w:pPr>
            <w:r>
              <w:rPr>
                <w:sz w:val="20"/>
              </w:rPr>
              <w:t xml:space="preserve">56</w:t>
            </w:r>
          </w:p>
        </w:tc>
        <w:tc>
          <w:tcPr>
            <w:tcW w:w="1077" w:type="dxa"/>
          </w:tcPr>
          <w:p>
            <w:pPr>
              <w:pStyle w:val="0"/>
              <w:jc w:val="center"/>
            </w:pPr>
            <w:r>
              <w:rPr>
                <w:sz w:val="20"/>
              </w:rPr>
              <w:t xml:space="preserve">74</w:t>
            </w:r>
          </w:p>
        </w:tc>
        <w:tc>
          <w:tcPr>
            <w:tcW w:w="1191" w:type="dxa"/>
          </w:tcPr>
          <w:p>
            <w:pPr>
              <w:pStyle w:val="0"/>
            </w:pPr>
            <w:r>
              <w:rPr>
                <w:sz w:val="20"/>
              </w:rPr>
              <w:t xml:space="preserve">92</w:t>
            </w:r>
          </w:p>
        </w:tc>
      </w:tr>
      <w:tr>
        <w:tc>
          <w:tcPr>
            <w:tcW w:w="566" w:type="dxa"/>
          </w:tcPr>
          <w:p>
            <w:pPr>
              <w:pStyle w:val="0"/>
              <w:jc w:val="center"/>
            </w:pPr>
            <w:r>
              <w:rPr>
                <w:sz w:val="20"/>
              </w:rPr>
              <w:t xml:space="preserve">25.</w:t>
            </w:r>
          </w:p>
        </w:tc>
        <w:tc>
          <w:tcPr>
            <w:tcW w:w="2494" w:type="dxa"/>
          </w:tcPr>
          <w:p>
            <w:pPr>
              <w:pStyle w:val="0"/>
            </w:pPr>
            <w:r>
              <w:rPr>
                <w:sz w:val="20"/>
              </w:rPr>
              <w:t xml:space="preserve">Субсидии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c>
          <w:tcPr>
            <w:tcW w:w="1927"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Число общеобразовательных организаций, расположенных в сельской местности и малых городах,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нарастающим итогом</w:t>
            </w:r>
          </w:p>
        </w:tc>
        <w:tc>
          <w:tcPr>
            <w:tcW w:w="850" w:type="dxa"/>
          </w:tcPr>
          <w:p>
            <w:pPr>
              <w:pStyle w:val="0"/>
            </w:pPr>
            <w:r>
              <w:rPr>
                <w:sz w:val="20"/>
              </w:rPr>
              <w:t xml:space="preserve">ед.</w:t>
            </w:r>
          </w:p>
        </w:tc>
        <w:tc>
          <w:tcPr>
            <w:tcW w:w="1077" w:type="dxa"/>
          </w:tcPr>
          <w:p>
            <w:pPr>
              <w:pStyle w:val="0"/>
              <w:jc w:val="center"/>
            </w:pPr>
            <w:r>
              <w:rPr>
                <w:sz w:val="20"/>
              </w:rPr>
              <w:t xml:space="preserve">84</w:t>
            </w:r>
          </w:p>
        </w:tc>
        <w:tc>
          <w:tcPr>
            <w:tcW w:w="1077" w:type="dxa"/>
          </w:tcPr>
          <w:p>
            <w:pPr>
              <w:pStyle w:val="0"/>
              <w:jc w:val="center"/>
            </w:pPr>
            <w:r>
              <w:rPr>
                <w:sz w:val="20"/>
              </w:rPr>
              <w:t xml:space="preserve">84</w:t>
            </w:r>
          </w:p>
        </w:tc>
        <w:tc>
          <w:tcPr>
            <w:tcW w:w="1191" w:type="dxa"/>
          </w:tcPr>
          <w:p>
            <w:pPr>
              <w:pStyle w:val="0"/>
            </w:pPr>
            <w:r>
              <w:rPr>
                <w:sz w:val="20"/>
              </w:rPr>
              <w:t xml:space="preserve">105</w:t>
            </w:r>
          </w:p>
        </w:tc>
      </w:tr>
      <w:tr>
        <w:tc>
          <w:tcPr>
            <w:tcW w:w="566" w:type="dxa"/>
          </w:tcPr>
          <w:p>
            <w:pPr>
              <w:pStyle w:val="0"/>
              <w:jc w:val="center"/>
            </w:pPr>
            <w:r>
              <w:rPr>
                <w:sz w:val="20"/>
              </w:rPr>
              <w:t xml:space="preserve">26.</w:t>
            </w:r>
          </w:p>
        </w:tc>
        <w:tc>
          <w:tcPr>
            <w:tcW w:w="2494" w:type="dxa"/>
          </w:tcPr>
          <w:p>
            <w:pPr>
              <w:pStyle w:val="0"/>
            </w:pPr>
            <w:r>
              <w:rPr>
                <w:sz w:val="20"/>
              </w:rPr>
              <w:t xml:space="preserve">Субсидии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927"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Доля муниципальных образований области, в которых внедрена целевая модель цифровой образовательной среды в образовательных организациях, реализующих образовательные программы общего образования и среднего профессионального образования</w:t>
            </w:r>
          </w:p>
        </w:tc>
        <w:tc>
          <w:tcPr>
            <w:tcW w:w="850"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191" w:type="dxa"/>
          </w:tcPr>
          <w:p>
            <w:pPr>
              <w:pStyle w:val="0"/>
            </w:pPr>
            <w:r>
              <w:rPr>
                <w:sz w:val="20"/>
              </w:rPr>
              <w:t xml:space="preserve">100</w:t>
            </w:r>
          </w:p>
        </w:tc>
      </w:tr>
      <w:tr>
        <w:tc>
          <w:tcPr>
            <w:tcW w:w="566" w:type="dxa"/>
            <w:vMerge w:val="restart"/>
          </w:tcPr>
          <w:p>
            <w:pPr>
              <w:pStyle w:val="0"/>
              <w:jc w:val="center"/>
            </w:pPr>
            <w:r>
              <w:rPr>
                <w:sz w:val="20"/>
              </w:rPr>
              <w:t xml:space="preserve">27.</w:t>
            </w:r>
          </w:p>
        </w:tc>
        <w:tc>
          <w:tcPr>
            <w:tcW w:w="2494" w:type="dxa"/>
            <w:vMerge w:val="restart"/>
          </w:tcPr>
          <w:p>
            <w:pPr>
              <w:pStyle w:val="0"/>
            </w:pPr>
            <w:r>
              <w:rPr>
                <w:sz w:val="20"/>
              </w:rPr>
              <w:t xml:space="preserve">Субсидии на капитальные вложения в объекты образования муниципальной собственности</w:t>
            </w:r>
          </w:p>
        </w:tc>
        <w:tc>
          <w:tcPr>
            <w:tcW w:w="1927" w:type="dxa"/>
            <w:vMerge w:val="restart"/>
          </w:tcPr>
          <w:p>
            <w:pPr>
              <w:pStyle w:val="0"/>
            </w:pPr>
            <w:r>
              <w:rPr>
                <w:sz w:val="20"/>
              </w:rPr>
              <w:t xml:space="preserve">Государственная программа Владимирской области "Развитие образования"</w:t>
            </w:r>
          </w:p>
        </w:tc>
        <w:tc>
          <w:tcPr>
            <w:tcW w:w="1247" w:type="dxa"/>
            <w:vMerge w:val="restart"/>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Количество новых мест в общеобразовательных организациях муниципальных образований</w:t>
            </w:r>
          </w:p>
        </w:tc>
        <w:tc>
          <w:tcPr>
            <w:tcW w:w="850" w:type="dxa"/>
          </w:tcPr>
          <w:p>
            <w:pPr>
              <w:pStyle w:val="0"/>
            </w:pPr>
            <w:r>
              <w:rPr>
                <w:sz w:val="20"/>
              </w:rPr>
              <w:t xml:space="preserve">ед.</w:t>
            </w:r>
          </w:p>
        </w:tc>
        <w:tc>
          <w:tcPr>
            <w:tcW w:w="1077" w:type="dxa"/>
          </w:tcPr>
          <w:p>
            <w:pPr>
              <w:pStyle w:val="0"/>
              <w:jc w:val="center"/>
            </w:pPr>
            <w:r>
              <w:rPr>
                <w:sz w:val="20"/>
              </w:rPr>
              <w:t xml:space="preserve">-</w:t>
            </w:r>
          </w:p>
        </w:tc>
        <w:tc>
          <w:tcPr>
            <w:tcW w:w="1077" w:type="dxa"/>
          </w:tcPr>
          <w:p>
            <w:pPr>
              <w:pStyle w:val="0"/>
              <w:jc w:val="center"/>
            </w:pPr>
            <w:r>
              <w:rPr>
                <w:sz w:val="20"/>
              </w:rPr>
              <w:t xml:space="preserve">2200</w:t>
            </w:r>
          </w:p>
        </w:tc>
        <w:tc>
          <w:tcPr>
            <w:tcW w:w="1191" w:type="dxa"/>
          </w:tcPr>
          <w:p>
            <w:pPr>
              <w:pStyle w:val="0"/>
            </w:pPr>
            <w:r>
              <w:rPr>
                <w:sz w:val="20"/>
              </w:rPr>
              <w:t xml:space="preserve">2210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новых мест, оснащенных средствами обучения и воспитания, необходимыми для реализации образовательных программ начального общего, основного общего и среднего общего образования</w:t>
            </w:r>
          </w:p>
        </w:tc>
        <w:tc>
          <w:tcPr>
            <w:tcW w:w="850" w:type="dxa"/>
          </w:tcPr>
          <w:p>
            <w:pPr>
              <w:pStyle w:val="0"/>
            </w:pPr>
            <w:r>
              <w:rPr>
                <w:sz w:val="20"/>
              </w:rPr>
              <w:t xml:space="preserve">ед.</w:t>
            </w:r>
          </w:p>
        </w:tc>
        <w:tc>
          <w:tcPr>
            <w:tcW w:w="1077" w:type="dxa"/>
          </w:tcPr>
          <w:p>
            <w:pPr>
              <w:pStyle w:val="0"/>
              <w:jc w:val="center"/>
            </w:pPr>
            <w:r>
              <w:rPr>
                <w:sz w:val="20"/>
              </w:rPr>
              <w:t xml:space="preserve">1100</w:t>
            </w:r>
          </w:p>
        </w:tc>
        <w:tc>
          <w:tcPr>
            <w:tcW w:w="1077" w:type="dxa"/>
          </w:tcPr>
          <w:p>
            <w:pPr>
              <w:pStyle w:val="0"/>
              <w:jc w:val="center"/>
            </w:pPr>
            <w:r>
              <w:rPr>
                <w:sz w:val="20"/>
              </w:rPr>
              <w:t xml:space="preserve">-</w:t>
            </w:r>
          </w:p>
        </w:tc>
        <w:tc>
          <w:tcPr>
            <w:tcW w:w="1191" w:type="dxa"/>
          </w:tcPr>
          <w:p>
            <w:pPr>
              <w:pStyle w:val="0"/>
            </w:pPr>
            <w:r>
              <w:rPr>
                <w:sz w:val="20"/>
              </w:rPr>
              <w:t xml:space="preserve">-</w:t>
            </w:r>
          </w:p>
        </w:tc>
      </w:tr>
      <w:tr>
        <w:tc>
          <w:tcPr>
            <w:tcW w:w="566" w:type="dxa"/>
            <w:vMerge w:val="restart"/>
          </w:tcPr>
          <w:p>
            <w:pPr>
              <w:pStyle w:val="0"/>
              <w:jc w:val="center"/>
            </w:pPr>
            <w:r>
              <w:rPr>
                <w:sz w:val="20"/>
              </w:rPr>
              <w:t xml:space="preserve">28.</w:t>
            </w:r>
          </w:p>
        </w:tc>
        <w:tc>
          <w:tcPr>
            <w:tcW w:w="2494" w:type="dxa"/>
            <w:vMerge w:val="restart"/>
          </w:tcPr>
          <w:p>
            <w:pPr>
              <w:pStyle w:val="0"/>
            </w:pPr>
            <w:r>
              <w:rPr>
                <w:sz w:val="20"/>
              </w:rPr>
              <w:t xml:space="preserve">Субсидии на создание новых мест в общеобразовательных организациях</w:t>
            </w:r>
          </w:p>
        </w:tc>
        <w:tc>
          <w:tcPr>
            <w:tcW w:w="1927" w:type="dxa"/>
            <w:vMerge w:val="restart"/>
          </w:tcPr>
          <w:p>
            <w:pPr>
              <w:pStyle w:val="0"/>
            </w:pPr>
            <w:r>
              <w:rPr>
                <w:sz w:val="20"/>
              </w:rPr>
              <w:t xml:space="preserve">Государственная программа Владимирской области "Развитие образования"</w:t>
            </w:r>
          </w:p>
        </w:tc>
        <w:tc>
          <w:tcPr>
            <w:tcW w:w="1247" w:type="dxa"/>
            <w:vMerge w:val="restart"/>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Количество новых мест в общеобразовательных организациях субъекта Российской Федерации, введенных путем реализации региональных программ в рамках софинансирования за счет средств федерального бюджета</w:t>
            </w:r>
          </w:p>
        </w:tc>
        <w:tc>
          <w:tcPr>
            <w:tcW w:w="850" w:type="dxa"/>
          </w:tcPr>
          <w:p>
            <w:pPr>
              <w:pStyle w:val="0"/>
            </w:pPr>
            <w:r>
              <w:rPr>
                <w:sz w:val="20"/>
              </w:rPr>
              <w:t xml:space="preserve">ед.</w:t>
            </w:r>
          </w:p>
        </w:tc>
        <w:tc>
          <w:tcPr>
            <w:tcW w:w="1077" w:type="dxa"/>
          </w:tcPr>
          <w:p>
            <w:pPr>
              <w:pStyle w:val="0"/>
              <w:jc w:val="center"/>
            </w:pPr>
            <w:r>
              <w:rPr>
                <w:sz w:val="20"/>
              </w:rPr>
              <w:t xml:space="preserve">-</w:t>
            </w:r>
          </w:p>
        </w:tc>
        <w:tc>
          <w:tcPr>
            <w:tcW w:w="1077" w:type="dxa"/>
          </w:tcPr>
          <w:p>
            <w:pPr>
              <w:pStyle w:val="0"/>
              <w:jc w:val="center"/>
            </w:pPr>
            <w:r>
              <w:rPr>
                <w:sz w:val="20"/>
              </w:rPr>
              <w:t xml:space="preserve">2200</w:t>
            </w:r>
          </w:p>
        </w:tc>
        <w:tc>
          <w:tcPr>
            <w:tcW w:w="1191" w:type="dxa"/>
          </w:tcPr>
          <w:p>
            <w:pPr>
              <w:pStyle w:val="0"/>
            </w:pPr>
            <w:r>
              <w:rPr>
                <w:sz w:val="20"/>
              </w:rPr>
              <w:t xml:space="preserve">-</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новых мест в общеобразовательных организациях муниципальных образований</w:t>
            </w:r>
          </w:p>
        </w:tc>
        <w:tc>
          <w:tcPr>
            <w:tcW w:w="850" w:type="dxa"/>
          </w:tcPr>
          <w:p>
            <w:pPr>
              <w:pStyle w:val="0"/>
            </w:pPr>
            <w:r>
              <w:rPr>
                <w:sz w:val="20"/>
              </w:rPr>
              <w:t xml:space="preserve">ед.</w:t>
            </w:r>
          </w:p>
        </w:tc>
        <w:tc>
          <w:tcPr>
            <w:tcW w:w="1077" w:type="dxa"/>
          </w:tcPr>
          <w:p>
            <w:pPr>
              <w:pStyle w:val="0"/>
              <w:jc w:val="center"/>
            </w:pPr>
            <w:r>
              <w:rPr>
                <w:sz w:val="20"/>
              </w:rPr>
              <w:t xml:space="preserve">-</w:t>
            </w:r>
          </w:p>
        </w:tc>
        <w:tc>
          <w:tcPr>
            <w:tcW w:w="1077" w:type="dxa"/>
          </w:tcPr>
          <w:p>
            <w:pPr>
              <w:pStyle w:val="0"/>
              <w:jc w:val="center"/>
            </w:pPr>
            <w:r>
              <w:rPr>
                <w:sz w:val="20"/>
              </w:rPr>
              <w:t xml:space="preserve">2200</w:t>
            </w:r>
          </w:p>
        </w:tc>
        <w:tc>
          <w:tcPr>
            <w:tcW w:w="1191" w:type="dxa"/>
          </w:tcPr>
          <w:p>
            <w:pPr>
              <w:pStyle w:val="0"/>
            </w:pPr>
            <w:r>
              <w:rPr>
                <w:sz w:val="20"/>
              </w:rPr>
              <w:t xml:space="preserve">2210</w:t>
            </w:r>
          </w:p>
        </w:tc>
      </w:tr>
      <w:tr>
        <w:tc>
          <w:tcPr>
            <w:tcW w:w="566" w:type="dxa"/>
          </w:tcPr>
          <w:p>
            <w:pPr>
              <w:pStyle w:val="0"/>
              <w:jc w:val="center"/>
            </w:pPr>
            <w:r>
              <w:rPr>
                <w:sz w:val="20"/>
              </w:rPr>
              <w:t xml:space="preserve">29.</w:t>
            </w:r>
          </w:p>
        </w:tc>
        <w:tc>
          <w:tcPr>
            <w:tcW w:w="2494" w:type="dxa"/>
          </w:tcPr>
          <w:p>
            <w:pPr>
              <w:pStyle w:val="0"/>
            </w:pPr>
            <w:r>
              <w:rPr>
                <w:sz w:val="20"/>
              </w:rPr>
              <w:t xml:space="preserve">Субсидии на создание новых мест в общеобразовательных организациях, расположенных в сельской местности и поселках городского типа</w:t>
            </w:r>
          </w:p>
        </w:tc>
        <w:tc>
          <w:tcPr>
            <w:tcW w:w="1927"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Количество новых мест в общеобразовательных организациях субъекта Российской Федерации, введенных путем реализации мероприятий региональных программ (региональных проектов), софинансируемых из федерального бюджета</w:t>
            </w:r>
          </w:p>
        </w:tc>
        <w:tc>
          <w:tcPr>
            <w:tcW w:w="850" w:type="dxa"/>
          </w:tcPr>
          <w:p>
            <w:pPr>
              <w:pStyle w:val="0"/>
            </w:pPr>
            <w:r>
              <w:rPr>
                <w:sz w:val="20"/>
              </w:rPr>
              <w:t xml:space="preserve">ед.</w:t>
            </w:r>
          </w:p>
        </w:tc>
        <w:tc>
          <w:tcPr>
            <w:tcW w:w="1077" w:type="dxa"/>
          </w:tcPr>
          <w:p>
            <w:pPr>
              <w:pStyle w:val="0"/>
              <w:jc w:val="center"/>
            </w:pPr>
            <w:r>
              <w:rPr>
                <w:sz w:val="20"/>
              </w:rPr>
              <w:t xml:space="preserve">-</w:t>
            </w:r>
          </w:p>
        </w:tc>
        <w:tc>
          <w:tcPr>
            <w:tcW w:w="1077" w:type="dxa"/>
          </w:tcPr>
          <w:p>
            <w:pPr>
              <w:pStyle w:val="0"/>
              <w:jc w:val="center"/>
            </w:pPr>
            <w:r>
              <w:rPr>
                <w:sz w:val="20"/>
              </w:rPr>
              <w:t xml:space="preserve">-</w:t>
            </w:r>
          </w:p>
        </w:tc>
        <w:tc>
          <w:tcPr>
            <w:tcW w:w="1191" w:type="dxa"/>
          </w:tcPr>
          <w:p>
            <w:pPr>
              <w:pStyle w:val="0"/>
            </w:pPr>
            <w:r>
              <w:rPr>
                <w:sz w:val="20"/>
              </w:rPr>
              <w:t xml:space="preserve">150</w:t>
            </w:r>
          </w:p>
        </w:tc>
      </w:tr>
      <w:tr>
        <w:tc>
          <w:tcPr>
            <w:tcW w:w="566" w:type="dxa"/>
            <w:vMerge w:val="restart"/>
          </w:tcPr>
          <w:p>
            <w:pPr>
              <w:pStyle w:val="0"/>
              <w:jc w:val="center"/>
            </w:pPr>
            <w:r>
              <w:rPr>
                <w:sz w:val="20"/>
              </w:rPr>
              <w:t xml:space="preserve">30.</w:t>
            </w:r>
          </w:p>
        </w:tc>
        <w:tc>
          <w:tcPr>
            <w:tcW w:w="2494" w:type="dxa"/>
            <w:vMerge w:val="restart"/>
          </w:tcPr>
          <w:p>
            <w:pPr>
              <w:pStyle w:val="0"/>
            </w:pPr>
            <w:r>
              <w:rPr>
                <w:sz w:val="20"/>
              </w:rPr>
              <w:t xml:space="preserve">Субсидии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927" w:type="dxa"/>
            <w:vMerge w:val="restart"/>
          </w:tcPr>
          <w:p>
            <w:pPr>
              <w:pStyle w:val="0"/>
            </w:pPr>
            <w:r>
              <w:rPr>
                <w:sz w:val="20"/>
              </w:rPr>
              <w:t xml:space="preserve">Государственная программа Владимирской области "Развитие образования"</w:t>
            </w:r>
          </w:p>
        </w:tc>
        <w:tc>
          <w:tcPr>
            <w:tcW w:w="1247" w:type="dxa"/>
            <w:vMerge w:val="restart"/>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Количество дополнительных мест в дошкольных организациях для детей в возрасте от 1,5 до 3 лет, созданных в ходе реализации региональной программы</w:t>
            </w:r>
          </w:p>
        </w:tc>
        <w:tc>
          <w:tcPr>
            <w:tcW w:w="850" w:type="dxa"/>
          </w:tcPr>
          <w:p>
            <w:pPr>
              <w:pStyle w:val="0"/>
            </w:pPr>
            <w:r>
              <w:rPr>
                <w:sz w:val="20"/>
              </w:rPr>
              <w:t xml:space="preserve">ед.</w:t>
            </w:r>
          </w:p>
        </w:tc>
        <w:tc>
          <w:tcPr>
            <w:tcW w:w="1077" w:type="dxa"/>
          </w:tcPr>
          <w:p>
            <w:pPr>
              <w:pStyle w:val="0"/>
              <w:jc w:val="center"/>
            </w:pPr>
            <w:r>
              <w:rPr>
                <w:sz w:val="20"/>
              </w:rPr>
              <w:t xml:space="preserve">216</w:t>
            </w:r>
          </w:p>
        </w:tc>
        <w:tc>
          <w:tcPr>
            <w:tcW w:w="1077" w:type="dxa"/>
          </w:tcPr>
          <w:p>
            <w:pPr>
              <w:pStyle w:val="0"/>
              <w:jc w:val="center"/>
            </w:pPr>
            <w:r>
              <w:rPr>
                <w:sz w:val="20"/>
              </w:rPr>
              <w:t xml:space="preserve">-</w:t>
            </w:r>
          </w:p>
        </w:tc>
        <w:tc>
          <w:tcPr>
            <w:tcW w:w="1191" w:type="dxa"/>
          </w:tcPr>
          <w:p>
            <w:pPr>
              <w:pStyle w:val="0"/>
            </w:pPr>
            <w:r>
              <w:rPr>
                <w:sz w:val="20"/>
              </w:rPr>
              <w:t xml:space="preserve">-</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новых мест в дошкольных организациях муниципальных образований</w:t>
            </w:r>
          </w:p>
        </w:tc>
        <w:tc>
          <w:tcPr>
            <w:tcW w:w="850" w:type="dxa"/>
          </w:tcPr>
          <w:p>
            <w:pPr>
              <w:pStyle w:val="0"/>
            </w:pPr>
            <w:r>
              <w:rPr>
                <w:sz w:val="20"/>
              </w:rPr>
              <w:t xml:space="preserve">ед.</w:t>
            </w:r>
          </w:p>
        </w:tc>
        <w:tc>
          <w:tcPr>
            <w:tcW w:w="1077" w:type="dxa"/>
          </w:tcPr>
          <w:p>
            <w:pPr>
              <w:pStyle w:val="0"/>
              <w:jc w:val="center"/>
            </w:pPr>
            <w:r>
              <w:rPr>
                <w:sz w:val="20"/>
              </w:rPr>
              <w:t xml:space="preserve">474</w:t>
            </w:r>
          </w:p>
        </w:tc>
        <w:tc>
          <w:tcPr>
            <w:tcW w:w="1077" w:type="dxa"/>
          </w:tcPr>
          <w:p>
            <w:pPr>
              <w:pStyle w:val="0"/>
              <w:jc w:val="center"/>
            </w:pPr>
            <w:r>
              <w:rPr>
                <w:sz w:val="20"/>
              </w:rPr>
              <w:t xml:space="preserve">-</w:t>
            </w:r>
          </w:p>
        </w:tc>
        <w:tc>
          <w:tcPr>
            <w:tcW w:w="1191" w:type="dxa"/>
          </w:tcPr>
          <w:p>
            <w:pPr>
              <w:pStyle w:val="0"/>
            </w:pPr>
            <w:r>
              <w:rPr>
                <w:sz w:val="20"/>
              </w:rPr>
              <w:t xml:space="preserve">-</w:t>
            </w:r>
          </w:p>
        </w:tc>
      </w:tr>
      <w:tr>
        <w:tc>
          <w:tcPr>
            <w:tcW w:w="566" w:type="dxa"/>
            <w:vMerge w:val="restart"/>
          </w:tcPr>
          <w:p>
            <w:pPr>
              <w:pStyle w:val="0"/>
              <w:jc w:val="center"/>
            </w:pPr>
            <w:r>
              <w:rPr>
                <w:sz w:val="20"/>
              </w:rPr>
              <w:t xml:space="preserve">31.</w:t>
            </w:r>
          </w:p>
        </w:tc>
        <w:tc>
          <w:tcPr>
            <w:tcW w:w="2494" w:type="dxa"/>
            <w:vMerge w:val="restart"/>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927" w:type="dxa"/>
            <w:vMerge w:val="restart"/>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247" w:type="dxa"/>
            <w:vMerge w:val="restart"/>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Доля детей-инвалидов в возрасте от 1,5 до 7 лет, охваченных дошкольным образованием, от общей численности детей-инвалидов данного возраста</w:t>
            </w:r>
          </w:p>
        </w:tc>
        <w:tc>
          <w:tcPr>
            <w:tcW w:w="850"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191" w:type="dxa"/>
          </w:tcPr>
          <w:p>
            <w:pPr>
              <w:pStyle w:val="0"/>
            </w:pPr>
            <w:r>
              <w:rPr>
                <w:sz w:val="20"/>
              </w:rPr>
              <w:t xml:space="preserve">100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Доля детей-инвалидов, которым созданы условия для получения качественного начального общего, основного общего, среднего общего образования, от общей численности детей-инвалидов школьного возраста</w:t>
            </w:r>
          </w:p>
        </w:tc>
        <w:tc>
          <w:tcPr>
            <w:tcW w:w="850"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191" w:type="dxa"/>
          </w:tcPr>
          <w:p>
            <w:pPr>
              <w:pStyle w:val="0"/>
            </w:pPr>
            <w:r>
              <w:rPr>
                <w:sz w:val="20"/>
              </w:rPr>
              <w:t xml:space="preserve">100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Доля детей-инвалидов в возрасте от 5 до 18 лет, получающих дополнительное образование, от общей численности детей-инвалидов данного возраста</w:t>
            </w:r>
          </w:p>
        </w:tc>
        <w:tc>
          <w:tcPr>
            <w:tcW w:w="850" w:type="dxa"/>
          </w:tcPr>
          <w:p>
            <w:pPr>
              <w:pStyle w:val="0"/>
            </w:pPr>
            <w:r>
              <w:rPr>
                <w:sz w:val="20"/>
              </w:rPr>
              <w:t xml:space="preserve">%</w:t>
            </w:r>
          </w:p>
        </w:tc>
        <w:tc>
          <w:tcPr>
            <w:tcW w:w="1077" w:type="dxa"/>
          </w:tcPr>
          <w:p>
            <w:pPr>
              <w:pStyle w:val="0"/>
              <w:jc w:val="center"/>
            </w:pPr>
            <w:r>
              <w:rPr>
                <w:sz w:val="20"/>
              </w:rPr>
              <w:t xml:space="preserve">50</w:t>
            </w:r>
          </w:p>
        </w:tc>
        <w:tc>
          <w:tcPr>
            <w:tcW w:w="1077" w:type="dxa"/>
          </w:tcPr>
          <w:p>
            <w:pPr>
              <w:pStyle w:val="0"/>
              <w:jc w:val="center"/>
            </w:pPr>
            <w:r>
              <w:rPr>
                <w:sz w:val="20"/>
              </w:rPr>
              <w:t xml:space="preserve">50</w:t>
            </w:r>
          </w:p>
        </w:tc>
        <w:tc>
          <w:tcPr>
            <w:tcW w:w="1191" w:type="dxa"/>
          </w:tcPr>
          <w:p>
            <w:pPr>
              <w:pStyle w:val="0"/>
            </w:pPr>
            <w:r>
              <w:rPr>
                <w:sz w:val="20"/>
              </w:rPr>
              <w:t xml:space="preserve">50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w:t>
            </w:r>
          </w:p>
        </w:tc>
        <w:tc>
          <w:tcPr>
            <w:tcW w:w="850" w:type="dxa"/>
          </w:tcPr>
          <w:p>
            <w:pPr>
              <w:pStyle w:val="0"/>
            </w:pPr>
            <w:r>
              <w:rPr>
                <w:sz w:val="20"/>
              </w:rPr>
              <w:t xml:space="preserve">%</w:t>
            </w:r>
          </w:p>
        </w:tc>
        <w:tc>
          <w:tcPr>
            <w:tcW w:w="1077" w:type="dxa"/>
          </w:tcPr>
          <w:p>
            <w:pPr>
              <w:pStyle w:val="0"/>
              <w:jc w:val="center"/>
            </w:pPr>
            <w:r>
              <w:rPr>
                <w:sz w:val="20"/>
              </w:rPr>
              <w:t xml:space="preserve">19</w:t>
            </w:r>
          </w:p>
        </w:tc>
        <w:tc>
          <w:tcPr>
            <w:tcW w:w="1077" w:type="dxa"/>
          </w:tcPr>
          <w:p>
            <w:pPr>
              <w:pStyle w:val="0"/>
              <w:jc w:val="center"/>
            </w:pPr>
            <w:r>
              <w:rPr>
                <w:sz w:val="20"/>
              </w:rPr>
              <w:t xml:space="preserve">19,5</w:t>
            </w:r>
          </w:p>
        </w:tc>
        <w:tc>
          <w:tcPr>
            <w:tcW w:w="1191" w:type="dxa"/>
          </w:tcPr>
          <w:p>
            <w:pPr>
              <w:pStyle w:val="0"/>
            </w:pPr>
            <w:r>
              <w:rPr>
                <w:sz w:val="20"/>
              </w:rPr>
              <w:t xml:space="preserve">20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w:t>
            </w:r>
          </w:p>
        </w:tc>
        <w:tc>
          <w:tcPr>
            <w:tcW w:w="850" w:type="dxa"/>
          </w:tcPr>
          <w:p>
            <w:pPr>
              <w:pStyle w:val="0"/>
            </w:pPr>
            <w:r>
              <w:rPr>
                <w:sz w:val="20"/>
              </w:rPr>
              <w:t xml:space="preserve">%</w:t>
            </w:r>
          </w:p>
        </w:tc>
        <w:tc>
          <w:tcPr>
            <w:tcW w:w="1077" w:type="dxa"/>
          </w:tcPr>
          <w:p>
            <w:pPr>
              <w:pStyle w:val="0"/>
              <w:jc w:val="center"/>
            </w:pPr>
            <w:r>
              <w:rPr>
                <w:sz w:val="20"/>
              </w:rPr>
              <w:t xml:space="preserve">25</w:t>
            </w:r>
          </w:p>
        </w:tc>
        <w:tc>
          <w:tcPr>
            <w:tcW w:w="1077" w:type="dxa"/>
          </w:tcPr>
          <w:p>
            <w:pPr>
              <w:pStyle w:val="0"/>
              <w:jc w:val="center"/>
            </w:pPr>
            <w:r>
              <w:rPr>
                <w:sz w:val="20"/>
              </w:rPr>
              <w:t xml:space="preserve">25</w:t>
            </w:r>
          </w:p>
        </w:tc>
        <w:tc>
          <w:tcPr>
            <w:tcW w:w="1191" w:type="dxa"/>
          </w:tcPr>
          <w:p>
            <w:pPr>
              <w:pStyle w:val="0"/>
            </w:pPr>
            <w:r>
              <w:rPr>
                <w:sz w:val="20"/>
              </w:rPr>
              <w:t xml:space="preserve">25</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Доля выпускников-инвалидов 9 и 11 классов, охваченных профориентационной работой, в общей численности выпускников-инвалидов</w:t>
            </w:r>
          </w:p>
        </w:tc>
        <w:tc>
          <w:tcPr>
            <w:tcW w:w="850"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191" w:type="dxa"/>
          </w:tcPr>
          <w:p>
            <w:pPr>
              <w:pStyle w:val="0"/>
            </w:pPr>
            <w:r>
              <w:rPr>
                <w:sz w:val="20"/>
              </w:rPr>
              <w:t xml:space="preserve">100</w:t>
            </w:r>
          </w:p>
        </w:tc>
      </w:tr>
      <w:tr>
        <w:tc>
          <w:tcPr>
            <w:tcW w:w="566" w:type="dxa"/>
          </w:tcPr>
          <w:p>
            <w:pPr>
              <w:pStyle w:val="0"/>
              <w:jc w:val="center"/>
            </w:pPr>
            <w:r>
              <w:rPr>
                <w:sz w:val="20"/>
              </w:rPr>
              <w:t xml:space="preserve">32.</w:t>
            </w:r>
          </w:p>
        </w:tc>
        <w:tc>
          <w:tcPr>
            <w:tcW w:w="2494"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927"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247" w:type="dxa"/>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Общее количество зарегистрированных преступлений на территории области (по отношению к показателям 2015 года)</w:t>
            </w:r>
          </w:p>
        </w:tc>
        <w:tc>
          <w:tcPr>
            <w:tcW w:w="850" w:type="dxa"/>
          </w:tcPr>
          <w:p>
            <w:pPr>
              <w:pStyle w:val="0"/>
            </w:pPr>
            <w:r>
              <w:rPr>
                <w:sz w:val="20"/>
              </w:rPr>
              <w:t xml:space="preserve">%</w:t>
            </w:r>
          </w:p>
        </w:tc>
        <w:tc>
          <w:tcPr>
            <w:tcW w:w="1077" w:type="dxa"/>
          </w:tcPr>
          <w:p>
            <w:pPr>
              <w:pStyle w:val="0"/>
              <w:jc w:val="center"/>
            </w:pPr>
            <w:r>
              <w:rPr>
                <w:sz w:val="20"/>
              </w:rPr>
              <w:t xml:space="preserve">93</w:t>
            </w:r>
          </w:p>
        </w:tc>
        <w:tc>
          <w:tcPr>
            <w:tcW w:w="1077" w:type="dxa"/>
          </w:tcPr>
          <w:p>
            <w:pPr>
              <w:pStyle w:val="0"/>
              <w:jc w:val="center"/>
            </w:pPr>
            <w:r>
              <w:rPr>
                <w:sz w:val="20"/>
              </w:rPr>
              <w:t xml:space="preserve">92</w:t>
            </w:r>
          </w:p>
        </w:tc>
        <w:tc>
          <w:tcPr>
            <w:tcW w:w="1191" w:type="dxa"/>
          </w:tcPr>
          <w:p>
            <w:pPr>
              <w:pStyle w:val="0"/>
            </w:pPr>
            <w:r>
              <w:rPr>
                <w:sz w:val="20"/>
              </w:rPr>
              <w:t xml:space="preserve">-</w:t>
            </w:r>
          </w:p>
        </w:tc>
      </w:tr>
      <w:tr>
        <w:tc>
          <w:tcPr>
            <w:tcW w:w="566" w:type="dxa"/>
          </w:tcPr>
          <w:p>
            <w:pPr>
              <w:pStyle w:val="0"/>
              <w:jc w:val="center"/>
            </w:pPr>
            <w:r>
              <w:rPr>
                <w:sz w:val="20"/>
              </w:rPr>
              <w:t xml:space="preserve">33.</w:t>
            </w:r>
          </w:p>
        </w:tc>
        <w:tc>
          <w:tcPr>
            <w:tcW w:w="2494"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927"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247" w:type="dxa"/>
          </w:tcPr>
          <w:p>
            <w:pPr>
              <w:pStyle w:val="0"/>
            </w:pPr>
            <w:r>
              <w:rPr>
                <w:sz w:val="20"/>
              </w:rPr>
              <w:t xml:space="preserve">Департамент образования Владимирской области</w:t>
            </w:r>
          </w:p>
        </w:tc>
        <w:tc>
          <w:tcPr>
            <w:tcW w:w="3118" w:type="dxa"/>
          </w:tcPr>
          <w:p>
            <w:pPr>
              <w:pStyle w:val="0"/>
            </w:pPr>
            <w:r>
              <w:rPr>
                <w:sz w:val="20"/>
              </w:rPr>
              <w:t xml:space="preserve">Доля кабинетов наркопрофилактики, созданных на базе муниципальных средних и основных общеобразовательных организаций Владимирской области</w:t>
            </w:r>
          </w:p>
        </w:tc>
        <w:tc>
          <w:tcPr>
            <w:tcW w:w="850" w:type="dxa"/>
          </w:tcPr>
          <w:p>
            <w:pPr>
              <w:pStyle w:val="0"/>
            </w:pPr>
            <w:r>
              <w:rPr>
                <w:sz w:val="20"/>
              </w:rPr>
              <w:t xml:space="preserve">%</w:t>
            </w:r>
          </w:p>
        </w:tc>
        <w:tc>
          <w:tcPr>
            <w:tcW w:w="1077" w:type="dxa"/>
          </w:tcPr>
          <w:p>
            <w:pPr>
              <w:pStyle w:val="0"/>
              <w:jc w:val="center"/>
            </w:pPr>
            <w:r>
              <w:rPr>
                <w:sz w:val="20"/>
              </w:rPr>
              <w:t xml:space="preserve">15</w:t>
            </w:r>
          </w:p>
        </w:tc>
        <w:tc>
          <w:tcPr>
            <w:tcW w:w="1077" w:type="dxa"/>
          </w:tcPr>
          <w:p>
            <w:pPr>
              <w:pStyle w:val="0"/>
              <w:jc w:val="center"/>
            </w:pPr>
            <w:r>
              <w:rPr>
                <w:sz w:val="20"/>
              </w:rPr>
              <w:t xml:space="preserve">15,5</w:t>
            </w:r>
          </w:p>
        </w:tc>
        <w:tc>
          <w:tcPr>
            <w:tcW w:w="1191" w:type="dxa"/>
          </w:tcPr>
          <w:p>
            <w:pPr>
              <w:pStyle w:val="0"/>
            </w:pPr>
            <w:r>
              <w:rPr>
                <w:sz w:val="20"/>
              </w:rPr>
              <w:t xml:space="preserve">-</w:t>
            </w:r>
          </w:p>
        </w:tc>
      </w:tr>
      <w:tr>
        <w:tc>
          <w:tcPr>
            <w:tcW w:w="566" w:type="dxa"/>
          </w:tcPr>
          <w:p>
            <w:pPr>
              <w:pStyle w:val="0"/>
              <w:jc w:val="center"/>
            </w:pPr>
            <w:r>
              <w:rPr>
                <w:sz w:val="20"/>
              </w:rPr>
              <w:t xml:space="preserve">34.</w:t>
            </w:r>
          </w:p>
        </w:tc>
        <w:tc>
          <w:tcPr>
            <w:tcW w:w="2494" w:type="dxa"/>
          </w:tcPr>
          <w:p>
            <w:pPr>
              <w:pStyle w:val="0"/>
            </w:pPr>
            <w:r>
              <w:rPr>
                <w:sz w:val="20"/>
              </w:rPr>
              <w:t xml:space="preserve">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927"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118" w:type="dxa"/>
          </w:tcPr>
          <w:p>
            <w:pPr>
              <w:pStyle w:val="0"/>
            </w:pPr>
            <w:r>
              <w:rPr>
                <w:sz w:val="20"/>
              </w:rPr>
              <w:t xml:space="preserve">Количество градостроительной документации, приведенной (разработанной) в соответствие с требованиями Градостроительного </w:t>
            </w:r>
            <w:hyperlink w:history="0" r:id="rId84" w:tooltip="&quot;Градостроительный кодекс Российской Федерации&quot; от 29.12.2004 N 190-ФЗ (ред. от 14.07.2022) ------------ Недействующая редакция {КонсультантПлюс}">
              <w:r>
                <w:rPr>
                  <w:sz w:val="20"/>
                  <w:color w:val="0000ff"/>
                </w:rPr>
                <w:t xml:space="preserve">кодекса</w:t>
              </w:r>
            </w:hyperlink>
            <w:r>
              <w:rPr>
                <w:sz w:val="20"/>
              </w:rPr>
              <w:t xml:space="preserve"> Российской Федерации</w:t>
            </w:r>
          </w:p>
        </w:tc>
        <w:tc>
          <w:tcPr>
            <w:tcW w:w="850" w:type="dxa"/>
          </w:tcPr>
          <w:p>
            <w:pPr>
              <w:pStyle w:val="0"/>
            </w:pPr>
            <w:r>
              <w:rPr>
                <w:sz w:val="20"/>
              </w:rPr>
              <w:t xml:space="preserve">шт.</w:t>
            </w:r>
          </w:p>
        </w:tc>
        <w:tc>
          <w:tcPr>
            <w:tcW w:w="1077" w:type="dxa"/>
          </w:tcPr>
          <w:p>
            <w:pPr>
              <w:pStyle w:val="0"/>
              <w:jc w:val="center"/>
            </w:pPr>
            <w:r>
              <w:rPr>
                <w:sz w:val="20"/>
              </w:rPr>
              <w:t xml:space="preserve">36</w:t>
            </w:r>
          </w:p>
        </w:tc>
        <w:tc>
          <w:tcPr>
            <w:tcW w:w="1077" w:type="dxa"/>
          </w:tcPr>
          <w:p>
            <w:pPr>
              <w:pStyle w:val="0"/>
              <w:jc w:val="center"/>
            </w:pPr>
            <w:r>
              <w:rPr>
                <w:sz w:val="20"/>
              </w:rPr>
              <w:t xml:space="preserve">36</w:t>
            </w:r>
          </w:p>
        </w:tc>
        <w:tc>
          <w:tcPr>
            <w:tcW w:w="1191" w:type="dxa"/>
          </w:tcPr>
          <w:p>
            <w:pPr>
              <w:pStyle w:val="0"/>
            </w:pPr>
            <w:r>
              <w:rPr>
                <w:sz w:val="20"/>
              </w:rPr>
              <w:t xml:space="preserve">10</w:t>
            </w:r>
          </w:p>
        </w:tc>
      </w:tr>
      <w:tr>
        <w:tc>
          <w:tcPr>
            <w:tcW w:w="566" w:type="dxa"/>
          </w:tcPr>
          <w:p>
            <w:pPr>
              <w:pStyle w:val="0"/>
              <w:jc w:val="center"/>
            </w:pPr>
            <w:r>
              <w:rPr>
                <w:sz w:val="20"/>
              </w:rPr>
              <w:t xml:space="preserve">35.</w:t>
            </w:r>
          </w:p>
        </w:tc>
        <w:tc>
          <w:tcPr>
            <w:tcW w:w="2494" w:type="dxa"/>
          </w:tcPr>
          <w:p>
            <w:pPr>
              <w:pStyle w:val="0"/>
            </w:pPr>
            <w:r>
              <w:rPr>
                <w:sz w:val="20"/>
              </w:rPr>
              <w:t xml:space="preserve">Оказание поддержки по комплексному освоению и развитию территорий области в целях жилищного строительства</w:t>
            </w:r>
          </w:p>
        </w:tc>
        <w:tc>
          <w:tcPr>
            <w:tcW w:w="1927"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118" w:type="dxa"/>
          </w:tcPr>
          <w:p>
            <w:pPr>
              <w:pStyle w:val="0"/>
            </w:pPr>
            <w:r>
              <w:rPr>
                <w:sz w:val="20"/>
              </w:rPr>
              <w:t xml:space="preserve">Годовой объем ввода жилья</w:t>
            </w:r>
          </w:p>
        </w:tc>
        <w:tc>
          <w:tcPr>
            <w:tcW w:w="850" w:type="dxa"/>
          </w:tcPr>
          <w:p>
            <w:pPr>
              <w:pStyle w:val="0"/>
            </w:pPr>
            <w:r>
              <w:rPr>
                <w:sz w:val="20"/>
              </w:rPr>
              <w:t xml:space="preserve">тыс. кв. метров</w:t>
            </w:r>
          </w:p>
        </w:tc>
        <w:tc>
          <w:tcPr>
            <w:tcW w:w="1077" w:type="dxa"/>
          </w:tcPr>
          <w:p>
            <w:pPr>
              <w:pStyle w:val="0"/>
              <w:jc w:val="center"/>
            </w:pPr>
            <w:r>
              <w:rPr>
                <w:sz w:val="20"/>
              </w:rPr>
              <w:t xml:space="preserve">825</w:t>
            </w:r>
          </w:p>
        </w:tc>
        <w:tc>
          <w:tcPr>
            <w:tcW w:w="1077" w:type="dxa"/>
          </w:tcPr>
          <w:p>
            <w:pPr>
              <w:pStyle w:val="0"/>
              <w:jc w:val="center"/>
            </w:pPr>
            <w:r>
              <w:rPr>
                <w:sz w:val="20"/>
              </w:rPr>
              <w:t xml:space="preserve">913</w:t>
            </w:r>
          </w:p>
        </w:tc>
        <w:tc>
          <w:tcPr>
            <w:tcW w:w="1191" w:type="dxa"/>
          </w:tcPr>
          <w:p>
            <w:pPr>
              <w:pStyle w:val="0"/>
            </w:pPr>
            <w:r>
              <w:rPr>
                <w:sz w:val="20"/>
              </w:rPr>
              <w:t xml:space="preserve">983,1</w:t>
            </w:r>
          </w:p>
        </w:tc>
      </w:tr>
      <w:tr>
        <w:tc>
          <w:tcPr>
            <w:tcW w:w="566" w:type="dxa"/>
          </w:tcPr>
          <w:p>
            <w:pPr>
              <w:pStyle w:val="0"/>
              <w:jc w:val="center"/>
            </w:pPr>
            <w:r>
              <w:rPr>
                <w:sz w:val="20"/>
              </w:rPr>
              <w:t xml:space="preserve">36.</w:t>
            </w:r>
          </w:p>
        </w:tc>
        <w:tc>
          <w:tcPr>
            <w:tcW w:w="2494" w:type="dxa"/>
          </w:tcPr>
          <w:p>
            <w:pPr>
              <w:pStyle w:val="0"/>
            </w:pPr>
            <w:r>
              <w:rPr>
                <w:sz w:val="20"/>
              </w:rPr>
              <w:t xml:space="preserve">Обеспечение поддержки многодетных семей</w:t>
            </w:r>
          </w:p>
        </w:tc>
        <w:tc>
          <w:tcPr>
            <w:tcW w:w="1927"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118" w:type="dxa"/>
          </w:tcPr>
          <w:p>
            <w:pPr>
              <w:pStyle w:val="0"/>
            </w:pPr>
            <w:r>
              <w:rPr>
                <w:sz w:val="20"/>
              </w:rPr>
              <w:t xml:space="preserve">Количество земельных участков, предоставленных (предоставляемых) многодетным семьям, обеспеченных инженерной и транспортной инфраструктурой</w:t>
            </w:r>
          </w:p>
        </w:tc>
        <w:tc>
          <w:tcPr>
            <w:tcW w:w="850" w:type="dxa"/>
          </w:tcPr>
          <w:p>
            <w:pPr>
              <w:pStyle w:val="0"/>
            </w:pPr>
            <w:r>
              <w:rPr>
                <w:sz w:val="20"/>
              </w:rPr>
              <w:t xml:space="preserve">ед.</w:t>
            </w:r>
          </w:p>
        </w:tc>
        <w:tc>
          <w:tcPr>
            <w:tcW w:w="1077" w:type="dxa"/>
          </w:tcPr>
          <w:p>
            <w:pPr>
              <w:pStyle w:val="0"/>
              <w:jc w:val="center"/>
            </w:pPr>
            <w:r>
              <w:rPr>
                <w:sz w:val="20"/>
              </w:rPr>
              <w:t xml:space="preserve">200</w:t>
            </w:r>
          </w:p>
        </w:tc>
        <w:tc>
          <w:tcPr>
            <w:tcW w:w="1077" w:type="dxa"/>
          </w:tcPr>
          <w:p>
            <w:pPr>
              <w:pStyle w:val="0"/>
              <w:jc w:val="center"/>
            </w:pPr>
            <w:r>
              <w:rPr>
                <w:sz w:val="20"/>
              </w:rPr>
              <w:t xml:space="preserve">200</w:t>
            </w:r>
          </w:p>
        </w:tc>
        <w:tc>
          <w:tcPr>
            <w:tcW w:w="1191" w:type="dxa"/>
          </w:tcPr>
          <w:p>
            <w:pPr>
              <w:pStyle w:val="0"/>
            </w:pPr>
            <w:r>
              <w:rPr>
                <w:sz w:val="20"/>
              </w:rPr>
              <w:t xml:space="preserve">200</w:t>
            </w:r>
          </w:p>
        </w:tc>
      </w:tr>
      <w:tr>
        <w:tc>
          <w:tcPr>
            <w:tcW w:w="566" w:type="dxa"/>
            <w:vMerge w:val="restart"/>
          </w:tcPr>
          <w:p>
            <w:pPr>
              <w:pStyle w:val="0"/>
              <w:jc w:val="center"/>
            </w:pPr>
            <w:r>
              <w:rPr>
                <w:sz w:val="20"/>
              </w:rPr>
              <w:t xml:space="preserve">37.</w:t>
            </w:r>
          </w:p>
        </w:tc>
        <w:tc>
          <w:tcPr>
            <w:tcW w:w="2494" w:type="dxa"/>
            <w:vMerge w:val="restart"/>
          </w:tcPr>
          <w:p>
            <w:pPr>
              <w:pStyle w:val="0"/>
            </w:pPr>
            <w:r>
              <w:rPr>
                <w:sz w:val="20"/>
              </w:rPr>
              <w:t xml:space="preserve">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 найма социального использования</w:t>
            </w:r>
          </w:p>
        </w:tc>
        <w:tc>
          <w:tcPr>
            <w:tcW w:w="1927" w:type="dxa"/>
            <w:vMerge w:val="restart"/>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vMerge w:val="restart"/>
          </w:tcPr>
          <w:p>
            <w:pPr>
              <w:pStyle w:val="0"/>
            </w:pPr>
            <w:r>
              <w:rPr>
                <w:sz w:val="20"/>
              </w:rPr>
              <w:t xml:space="preserve">Департамент архитектуры и строительства Владимирской области</w:t>
            </w:r>
          </w:p>
        </w:tc>
        <w:tc>
          <w:tcPr>
            <w:tcW w:w="3118" w:type="dxa"/>
          </w:tcPr>
          <w:p>
            <w:pPr>
              <w:pStyle w:val="0"/>
            </w:pPr>
            <w:r>
              <w:rPr>
                <w:sz w:val="20"/>
              </w:rPr>
              <w:t xml:space="preserve">Общая площадь построенных и приобретенных жилых помещений</w:t>
            </w:r>
          </w:p>
        </w:tc>
        <w:tc>
          <w:tcPr>
            <w:tcW w:w="850" w:type="dxa"/>
          </w:tcPr>
          <w:p>
            <w:pPr>
              <w:pStyle w:val="0"/>
            </w:pPr>
            <w:r>
              <w:rPr>
                <w:sz w:val="20"/>
              </w:rPr>
              <w:t xml:space="preserve">тыс. кв. метров</w:t>
            </w:r>
          </w:p>
        </w:tc>
        <w:tc>
          <w:tcPr>
            <w:tcW w:w="1077" w:type="dxa"/>
          </w:tcPr>
          <w:p>
            <w:pPr>
              <w:pStyle w:val="0"/>
              <w:jc w:val="center"/>
            </w:pPr>
            <w:r>
              <w:rPr>
                <w:sz w:val="20"/>
              </w:rPr>
              <w:t xml:space="preserve">9,0</w:t>
            </w:r>
          </w:p>
        </w:tc>
        <w:tc>
          <w:tcPr>
            <w:tcW w:w="1077" w:type="dxa"/>
          </w:tcPr>
          <w:p>
            <w:pPr>
              <w:pStyle w:val="0"/>
              <w:jc w:val="center"/>
            </w:pPr>
            <w:r>
              <w:rPr>
                <w:sz w:val="20"/>
              </w:rPr>
              <w:t xml:space="preserve">9,0</w:t>
            </w:r>
          </w:p>
        </w:tc>
        <w:tc>
          <w:tcPr>
            <w:tcW w:w="1191" w:type="dxa"/>
          </w:tcPr>
          <w:p>
            <w:pPr>
              <w:pStyle w:val="0"/>
            </w:pPr>
            <w:r>
              <w:rPr>
                <w:sz w:val="20"/>
              </w:rPr>
              <w:t xml:space="preserve">9,1</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семей, улучшивших жилищные условия</w:t>
            </w:r>
          </w:p>
        </w:tc>
        <w:tc>
          <w:tcPr>
            <w:tcW w:w="850" w:type="dxa"/>
          </w:tcPr>
          <w:p>
            <w:pPr>
              <w:pStyle w:val="0"/>
            </w:pPr>
            <w:r>
              <w:rPr>
                <w:sz w:val="20"/>
              </w:rPr>
              <w:t xml:space="preserve">семей</w:t>
            </w:r>
          </w:p>
        </w:tc>
        <w:tc>
          <w:tcPr>
            <w:tcW w:w="1077" w:type="dxa"/>
          </w:tcPr>
          <w:p>
            <w:pPr>
              <w:pStyle w:val="0"/>
              <w:jc w:val="center"/>
            </w:pPr>
            <w:r>
              <w:rPr>
                <w:sz w:val="20"/>
              </w:rPr>
              <w:t xml:space="preserve">175</w:t>
            </w:r>
          </w:p>
        </w:tc>
        <w:tc>
          <w:tcPr>
            <w:tcW w:w="1077" w:type="dxa"/>
          </w:tcPr>
          <w:p>
            <w:pPr>
              <w:pStyle w:val="0"/>
              <w:jc w:val="center"/>
            </w:pPr>
            <w:r>
              <w:rPr>
                <w:sz w:val="20"/>
              </w:rPr>
              <w:t xml:space="preserve">175</w:t>
            </w:r>
          </w:p>
        </w:tc>
        <w:tc>
          <w:tcPr>
            <w:tcW w:w="1191" w:type="dxa"/>
          </w:tcPr>
          <w:p>
            <w:pPr>
              <w:pStyle w:val="0"/>
            </w:pPr>
            <w:r>
              <w:rPr>
                <w:sz w:val="20"/>
              </w:rPr>
              <w:t xml:space="preserve">179</w:t>
            </w:r>
          </w:p>
        </w:tc>
      </w:tr>
      <w:tr>
        <w:tc>
          <w:tcPr>
            <w:tcW w:w="566" w:type="dxa"/>
          </w:tcPr>
          <w:p>
            <w:pPr>
              <w:pStyle w:val="0"/>
              <w:jc w:val="center"/>
            </w:pPr>
            <w:r>
              <w:rPr>
                <w:sz w:val="20"/>
              </w:rPr>
              <w:t xml:space="preserve">38.</w:t>
            </w:r>
          </w:p>
        </w:tc>
        <w:tc>
          <w:tcPr>
            <w:tcW w:w="2494" w:type="dxa"/>
          </w:tcPr>
          <w:p>
            <w:pPr>
              <w:pStyle w:val="0"/>
            </w:pPr>
            <w:r>
              <w:rPr>
                <w:sz w:val="20"/>
              </w:rPr>
              <w:t xml:space="preserve">Оказание мер социальной поддержки по улучшению жилищных условий молодых семей</w:t>
            </w:r>
          </w:p>
        </w:tc>
        <w:tc>
          <w:tcPr>
            <w:tcW w:w="1927"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118" w:type="dxa"/>
          </w:tcPr>
          <w:p>
            <w:pPr>
              <w:pStyle w:val="0"/>
            </w:pPr>
            <w:r>
              <w:rPr>
                <w:sz w:val="20"/>
              </w:rPr>
              <w:t xml:space="preserve">Количество молодых семей, получивших свидетельство о праве на получение социальной выплаты на приобретение (строительство) жилого помещения</w:t>
            </w:r>
          </w:p>
        </w:tc>
        <w:tc>
          <w:tcPr>
            <w:tcW w:w="850" w:type="dxa"/>
          </w:tcPr>
          <w:p>
            <w:pPr>
              <w:pStyle w:val="0"/>
            </w:pPr>
            <w:r>
              <w:rPr>
                <w:sz w:val="20"/>
              </w:rPr>
              <w:t xml:space="preserve">семей</w:t>
            </w:r>
          </w:p>
        </w:tc>
        <w:tc>
          <w:tcPr>
            <w:tcW w:w="1077" w:type="dxa"/>
          </w:tcPr>
          <w:p>
            <w:pPr>
              <w:pStyle w:val="0"/>
              <w:jc w:val="center"/>
            </w:pPr>
            <w:r>
              <w:rPr>
                <w:sz w:val="20"/>
              </w:rPr>
              <w:t xml:space="preserve">193</w:t>
            </w:r>
          </w:p>
        </w:tc>
        <w:tc>
          <w:tcPr>
            <w:tcW w:w="1077" w:type="dxa"/>
          </w:tcPr>
          <w:p>
            <w:pPr>
              <w:pStyle w:val="0"/>
              <w:jc w:val="center"/>
            </w:pPr>
            <w:r>
              <w:rPr>
                <w:sz w:val="20"/>
              </w:rPr>
              <w:t xml:space="preserve">196</w:t>
            </w:r>
          </w:p>
        </w:tc>
        <w:tc>
          <w:tcPr>
            <w:tcW w:w="1191" w:type="dxa"/>
          </w:tcPr>
          <w:p>
            <w:pPr>
              <w:pStyle w:val="0"/>
            </w:pPr>
            <w:r>
              <w:rPr>
                <w:sz w:val="20"/>
              </w:rPr>
              <w:t xml:space="preserve">250</w:t>
            </w:r>
          </w:p>
        </w:tc>
      </w:tr>
      <w:tr>
        <w:tc>
          <w:tcPr>
            <w:tcW w:w="566" w:type="dxa"/>
          </w:tcPr>
          <w:p>
            <w:pPr>
              <w:pStyle w:val="0"/>
              <w:jc w:val="center"/>
            </w:pPr>
            <w:r>
              <w:rPr>
                <w:sz w:val="20"/>
              </w:rPr>
              <w:t xml:space="preserve">39.</w:t>
            </w:r>
          </w:p>
        </w:tc>
        <w:tc>
          <w:tcPr>
            <w:tcW w:w="2494" w:type="dxa"/>
          </w:tcPr>
          <w:p>
            <w:pPr>
              <w:pStyle w:val="0"/>
            </w:pPr>
            <w:r>
              <w:rPr>
                <w:sz w:val="20"/>
              </w:rPr>
              <w:t xml:space="preserve">Обеспечение жильем ветеранов, инвалидов и семей, имеющих детей-инвалидов</w:t>
            </w:r>
          </w:p>
        </w:tc>
        <w:tc>
          <w:tcPr>
            <w:tcW w:w="1927"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118" w:type="dxa"/>
          </w:tcPr>
          <w:p>
            <w:pPr>
              <w:pStyle w:val="0"/>
            </w:pPr>
            <w:r>
              <w:rPr>
                <w:sz w:val="20"/>
              </w:rPr>
              <w:t xml:space="preserve">Количество граждан, получивших единовременные денежные выплаты и жилищные субсидии за счет федерального бюджета</w:t>
            </w:r>
          </w:p>
        </w:tc>
        <w:tc>
          <w:tcPr>
            <w:tcW w:w="850" w:type="dxa"/>
          </w:tcPr>
          <w:p>
            <w:pPr>
              <w:pStyle w:val="0"/>
            </w:pPr>
            <w:r>
              <w:rPr>
                <w:sz w:val="20"/>
              </w:rPr>
              <w:t xml:space="preserve">граждан</w:t>
            </w:r>
          </w:p>
        </w:tc>
        <w:tc>
          <w:tcPr>
            <w:tcW w:w="1077" w:type="dxa"/>
          </w:tcPr>
          <w:p>
            <w:pPr>
              <w:pStyle w:val="0"/>
              <w:jc w:val="center"/>
            </w:pPr>
            <w:r>
              <w:rPr>
                <w:sz w:val="20"/>
              </w:rPr>
              <w:t xml:space="preserve">13</w:t>
            </w:r>
          </w:p>
        </w:tc>
        <w:tc>
          <w:tcPr>
            <w:tcW w:w="1077" w:type="dxa"/>
          </w:tcPr>
          <w:p>
            <w:pPr>
              <w:pStyle w:val="0"/>
              <w:jc w:val="center"/>
            </w:pPr>
            <w:r>
              <w:rPr>
                <w:sz w:val="20"/>
              </w:rPr>
              <w:t xml:space="preserve">13</w:t>
            </w:r>
          </w:p>
        </w:tc>
        <w:tc>
          <w:tcPr>
            <w:tcW w:w="1191" w:type="dxa"/>
          </w:tcPr>
          <w:p>
            <w:pPr>
              <w:pStyle w:val="0"/>
            </w:pPr>
            <w:r>
              <w:rPr>
                <w:sz w:val="20"/>
              </w:rPr>
              <w:t xml:space="preserve">22</w:t>
            </w:r>
          </w:p>
        </w:tc>
      </w:tr>
      <w:tr>
        <w:tc>
          <w:tcPr>
            <w:tcW w:w="566" w:type="dxa"/>
          </w:tcPr>
          <w:p>
            <w:pPr>
              <w:pStyle w:val="0"/>
              <w:jc w:val="center"/>
            </w:pPr>
            <w:r>
              <w:rPr>
                <w:sz w:val="20"/>
              </w:rPr>
              <w:t xml:space="preserve">40.</w:t>
            </w:r>
          </w:p>
        </w:tc>
        <w:tc>
          <w:tcPr>
            <w:tcW w:w="2494" w:type="dxa"/>
          </w:tcPr>
          <w:p>
            <w:pPr>
              <w:pStyle w:val="0"/>
            </w:pPr>
            <w:r>
              <w:rPr>
                <w:sz w:val="20"/>
              </w:rPr>
              <w:t xml:space="preserve">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927"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118" w:type="dxa"/>
          </w:tcPr>
          <w:p>
            <w:pPr>
              <w:pStyle w:val="0"/>
            </w:pPr>
            <w:r>
              <w:rPr>
                <w:sz w:val="20"/>
              </w:rPr>
              <w:t xml:space="preserve">Количество граждан, получивших свидетельства о праве на получение жилищной субсидии за счет средств областного бюджета</w:t>
            </w:r>
          </w:p>
        </w:tc>
        <w:tc>
          <w:tcPr>
            <w:tcW w:w="850" w:type="dxa"/>
          </w:tcPr>
          <w:p>
            <w:pPr>
              <w:pStyle w:val="0"/>
            </w:pPr>
            <w:r>
              <w:rPr>
                <w:sz w:val="20"/>
              </w:rPr>
              <w:t xml:space="preserve">граждан</w:t>
            </w:r>
          </w:p>
        </w:tc>
        <w:tc>
          <w:tcPr>
            <w:tcW w:w="1077" w:type="dxa"/>
          </w:tcPr>
          <w:p>
            <w:pPr>
              <w:pStyle w:val="0"/>
              <w:jc w:val="center"/>
            </w:pPr>
            <w:r>
              <w:rPr>
                <w:sz w:val="20"/>
              </w:rPr>
              <w:t xml:space="preserve">32</w:t>
            </w:r>
          </w:p>
        </w:tc>
        <w:tc>
          <w:tcPr>
            <w:tcW w:w="1077" w:type="dxa"/>
          </w:tcPr>
          <w:p>
            <w:pPr>
              <w:pStyle w:val="0"/>
              <w:jc w:val="center"/>
            </w:pPr>
            <w:r>
              <w:rPr>
                <w:sz w:val="20"/>
              </w:rPr>
              <w:t xml:space="preserve">34</w:t>
            </w:r>
          </w:p>
        </w:tc>
        <w:tc>
          <w:tcPr>
            <w:tcW w:w="1191" w:type="dxa"/>
          </w:tcPr>
          <w:p>
            <w:pPr>
              <w:pStyle w:val="0"/>
            </w:pPr>
            <w:r>
              <w:rPr>
                <w:sz w:val="20"/>
              </w:rPr>
              <w:t xml:space="preserve">35</w:t>
            </w:r>
          </w:p>
        </w:tc>
      </w:tr>
      <w:tr>
        <w:tc>
          <w:tcPr>
            <w:tcW w:w="566" w:type="dxa"/>
          </w:tcPr>
          <w:p>
            <w:pPr>
              <w:pStyle w:val="0"/>
              <w:jc w:val="center"/>
            </w:pPr>
            <w:r>
              <w:rPr>
                <w:sz w:val="20"/>
              </w:rPr>
              <w:t xml:space="preserve">41.</w:t>
            </w:r>
          </w:p>
        </w:tc>
        <w:tc>
          <w:tcPr>
            <w:tcW w:w="2494" w:type="dxa"/>
          </w:tcPr>
          <w:p>
            <w:pPr>
              <w:pStyle w:val="0"/>
            </w:pPr>
            <w:r>
              <w:rPr>
                <w:sz w:val="20"/>
              </w:rPr>
              <w:t xml:space="preserve">Обеспечение мер социальной поддержки многодетных семей</w:t>
            </w:r>
          </w:p>
        </w:tc>
        <w:tc>
          <w:tcPr>
            <w:tcW w:w="1927"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118" w:type="dxa"/>
          </w:tcPr>
          <w:p>
            <w:pPr>
              <w:pStyle w:val="0"/>
            </w:pPr>
            <w:r>
              <w:rPr>
                <w:sz w:val="20"/>
              </w:rPr>
              <w:t xml:space="preserve">Количество многодетных семей, получивших свидетельство о праве на получение социальной выплаты на строительство индивидуального жилого дома</w:t>
            </w:r>
          </w:p>
        </w:tc>
        <w:tc>
          <w:tcPr>
            <w:tcW w:w="850" w:type="dxa"/>
          </w:tcPr>
          <w:p>
            <w:pPr>
              <w:pStyle w:val="0"/>
            </w:pPr>
            <w:r>
              <w:rPr>
                <w:sz w:val="20"/>
              </w:rPr>
              <w:t xml:space="preserve">семей</w:t>
            </w:r>
          </w:p>
        </w:tc>
        <w:tc>
          <w:tcPr>
            <w:tcW w:w="1077" w:type="dxa"/>
          </w:tcPr>
          <w:p>
            <w:pPr>
              <w:pStyle w:val="0"/>
              <w:jc w:val="center"/>
            </w:pPr>
            <w:r>
              <w:rPr>
                <w:sz w:val="20"/>
              </w:rPr>
              <w:t xml:space="preserve">55</w:t>
            </w:r>
          </w:p>
        </w:tc>
        <w:tc>
          <w:tcPr>
            <w:tcW w:w="1077" w:type="dxa"/>
          </w:tcPr>
          <w:p>
            <w:pPr>
              <w:pStyle w:val="0"/>
              <w:jc w:val="center"/>
            </w:pPr>
            <w:r>
              <w:rPr>
                <w:sz w:val="20"/>
              </w:rPr>
              <w:t xml:space="preserve">60</w:t>
            </w:r>
          </w:p>
        </w:tc>
        <w:tc>
          <w:tcPr>
            <w:tcW w:w="1191" w:type="dxa"/>
          </w:tcPr>
          <w:p>
            <w:pPr>
              <w:pStyle w:val="0"/>
            </w:pPr>
            <w:r>
              <w:rPr>
                <w:sz w:val="20"/>
              </w:rPr>
              <w:t xml:space="preserve">45</w:t>
            </w:r>
          </w:p>
        </w:tc>
      </w:tr>
      <w:tr>
        <w:tc>
          <w:tcPr>
            <w:tcW w:w="566" w:type="dxa"/>
          </w:tcPr>
          <w:p>
            <w:pPr>
              <w:pStyle w:val="0"/>
              <w:jc w:val="center"/>
            </w:pPr>
            <w:r>
              <w:rPr>
                <w:sz w:val="20"/>
              </w:rPr>
              <w:t xml:space="preserve">42.</w:t>
            </w:r>
          </w:p>
        </w:tc>
        <w:tc>
          <w:tcPr>
            <w:tcW w:w="2494" w:type="dxa"/>
          </w:tcPr>
          <w:p>
            <w:pPr>
              <w:pStyle w:val="0"/>
            </w:pPr>
            <w:r>
              <w:rPr>
                <w:sz w:val="20"/>
              </w:rPr>
              <w:t xml:space="preserve">Обеспечение комплексного развития сельских территорий по благоустройству</w:t>
            </w:r>
          </w:p>
        </w:tc>
        <w:tc>
          <w:tcPr>
            <w:tcW w:w="1927"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247" w:type="dxa"/>
          </w:tcPr>
          <w:p>
            <w:pPr>
              <w:pStyle w:val="0"/>
            </w:pPr>
            <w:r>
              <w:rPr>
                <w:sz w:val="20"/>
              </w:rPr>
              <w:t xml:space="preserve">Департамент сельского хозяйства Владимирской области</w:t>
            </w:r>
          </w:p>
        </w:tc>
        <w:tc>
          <w:tcPr>
            <w:tcW w:w="3118" w:type="dxa"/>
          </w:tcPr>
          <w:p>
            <w:pPr>
              <w:pStyle w:val="0"/>
            </w:pPr>
            <w:r>
              <w:rPr>
                <w:sz w:val="20"/>
              </w:rPr>
              <w:t xml:space="preserve">Количество реализованных проектов по благоустройству сельских территорий</w:t>
            </w:r>
          </w:p>
        </w:tc>
        <w:tc>
          <w:tcPr>
            <w:tcW w:w="850" w:type="dxa"/>
          </w:tcPr>
          <w:p>
            <w:pPr>
              <w:pStyle w:val="0"/>
            </w:pPr>
            <w:r>
              <w:rPr>
                <w:sz w:val="20"/>
              </w:rPr>
              <w:t xml:space="preserve">единиц</w:t>
            </w:r>
          </w:p>
        </w:tc>
        <w:tc>
          <w:tcPr>
            <w:tcW w:w="1077" w:type="dxa"/>
          </w:tcPr>
          <w:p>
            <w:pPr>
              <w:pStyle w:val="0"/>
              <w:jc w:val="center"/>
            </w:pPr>
            <w:r>
              <w:rPr>
                <w:sz w:val="20"/>
              </w:rPr>
              <w:t xml:space="preserve">15</w:t>
            </w:r>
          </w:p>
        </w:tc>
        <w:tc>
          <w:tcPr>
            <w:tcW w:w="1077" w:type="dxa"/>
          </w:tcPr>
          <w:p>
            <w:pPr>
              <w:pStyle w:val="0"/>
              <w:jc w:val="center"/>
            </w:pPr>
            <w:r>
              <w:rPr>
                <w:sz w:val="20"/>
              </w:rPr>
              <w:t xml:space="preserve">15</w:t>
            </w:r>
          </w:p>
        </w:tc>
        <w:tc>
          <w:tcPr>
            <w:tcW w:w="1191" w:type="dxa"/>
          </w:tcPr>
          <w:p>
            <w:pPr>
              <w:pStyle w:val="0"/>
            </w:pPr>
            <w:r>
              <w:rPr>
                <w:sz w:val="20"/>
              </w:rPr>
              <w:t xml:space="preserve">15</w:t>
            </w:r>
          </w:p>
        </w:tc>
      </w:tr>
      <w:tr>
        <w:tc>
          <w:tcPr>
            <w:tcW w:w="566" w:type="dxa"/>
          </w:tcPr>
          <w:p>
            <w:pPr>
              <w:pStyle w:val="0"/>
              <w:jc w:val="center"/>
            </w:pPr>
            <w:r>
              <w:rPr>
                <w:sz w:val="20"/>
              </w:rPr>
              <w:t xml:space="preserve">43.</w:t>
            </w:r>
          </w:p>
        </w:tc>
        <w:tc>
          <w:tcPr>
            <w:tcW w:w="2494" w:type="dxa"/>
          </w:tcPr>
          <w:p>
            <w:pPr>
              <w:pStyle w:val="0"/>
            </w:pPr>
            <w:r>
              <w:rPr>
                <w:sz w:val="20"/>
              </w:rPr>
              <w:t xml:space="preserve">Предотвращение распространения борщевика Сосновского</w:t>
            </w:r>
          </w:p>
        </w:tc>
        <w:tc>
          <w:tcPr>
            <w:tcW w:w="1927"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247" w:type="dxa"/>
          </w:tcPr>
          <w:p>
            <w:pPr>
              <w:pStyle w:val="0"/>
            </w:pPr>
            <w:r>
              <w:rPr>
                <w:sz w:val="20"/>
              </w:rPr>
              <w:t xml:space="preserve">Департамент сельского хозяйства Владимирской области</w:t>
            </w:r>
          </w:p>
        </w:tc>
        <w:tc>
          <w:tcPr>
            <w:tcW w:w="3118" w:type="dxa"/>
          </w:tcPr>
          <w:p>
            <w:pPr>
              <w:pStyle w:val="0"/>
            </w:pPr>
            <w:r>
              <w:rPr>
                <w:sz w:val="20"/>
              </w:rPr>
              <w:t xml:space="preserve">Объем площадей, обработанных от борщевика Сосновского</w:t>
            </w:r>
          </w:p>
        </w:tc>
        <w:tc>
          <w:tcPr>
            <w:tcW w:w="850" w:type="dxa"/>
          </w:tcPr>
          <w:p>
            <w:pPr>
              <w:pStyle w:val="0"/>
            </w:pPr>
            <w:r>
              <w:rPr>
                <w:sz w:val="20"/>
              </w:rPr>
              <w:t xml:space="preserve">гектаров</w:t>
            </w:r>
          </w:p>
        </w:tc>
        <w:tc>
          <w:tcPr>
            <w:tcW w:w="1077" w:type="dxa"/>
          </w:tcPr>
          <w:p>
            <w:pPr>
              <w:pStyle w:val="0"/>
              <w:jc w:val="center"/>
            </w:pPr>
            <w:r>
              <w:rPr>
                <w:sz w:val="20"/>
              </w:rPr>
              <w:t xml:space="preserve">446,5</w:t>
            </w:r>
          </w:p>
        </w:tc>
        <w:tc>
          <w:tcPr>
            <w:tcW w:w="1077" w:type="dxa"/>
          </w:tcPr>
          <w:p>
            <w:pPr>
              <w:pStyle w:val="0"/>
              <w:jc w:val="center"/>
            </w:pPr>
            <w:r>
              <w:rPr>
                <w:sz w:val="20"/>
              </w:rPr>
              <w:t xml:space="preserve">446,5</w:t>
            </w:r>
          </w:p>
        </w:tc>
        <w:tc>
          <w:tcPr>
            <w:tcW w:w="1191" w:type="dxa"/>
          </w:tcPr>
          <w:p>
            <w:pPr>
              <w:pStyle w:val="0"/>
            </w:pPr>
            <w:r>
              <w:rPr>
                <w:sz w:val="20"/>
              </w:rPr>
              <w:t xml:space="preserve">446,5</w:t>
            </w:r>
          </w:p>
        </w:tc>
      </w:tr>
      <w:tr>
        <w:tc>
          <w:tcPr>
            <w:tcW w:w="566" w:type="dxa"/>
            <w:vMerge w:val="restart"/>
          </w:tcPr>
          <w:p>
            <w:pPr>
              <w:pStyle w:val="0"/>
              <w:jc w:val="center"/>
            </w:pPr>
            <w:r>
              <w:rPr>
                <w:sz w:val="20"/>
              </w:rPr>
              <w:t xml:space="preserve">44.</w:t>
            </w:r>
          </w:p>
        </w:tc>
        <w:tc>
          <w:tcPr>
            <w:tcW w:w="2494" w:type="dxa"/>
            <w:vMerge w:val="restart"/>
          </w:tcPr>
          <w:p>
            <w:pPr>
              <w:pStyle w:val="0"/>
            </w:pPr>
            <w:r>
              <w:rPr>
                <w:sz w:val="20"/>
              </w:rPr>
              <w:t xml:space="preserve">Обеспечение комплексного развития сельских территорий по развитию инженерной инфраструктуры</w:t>
            </w:r>
          </w:p>
        </w:tc>
        <w:tc>
          <w:tcPr>
            <w:tcW w:w="1927" w:type="dxa"/>
            <w:vMerge w:val="restart"/>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247" w:type="dxa"/>
            <w:vMerge w:val="restart"/>
          </w:tcPr>
          <w:p>
            <w:pPr>
              <w:pStyle w:val="0"/>
            </w:pPr>
            <w:r>
              <w:rPr>
                <w:sz w:val="20"/>
              </w:rPr>
              <w:t xml:space="preserve">Департамент сельского хозяйства Владимирской области</w:t>
            </w:r>
          </w:p>
        </w:tc>
        <w:tc>
          <w:tcPr>
            <w:tcW w:w="3118" w:type="dxa"/>
          </w:tcPr>
          <w:p>
            <w:pPr>
              <w:pStyle w:val="0"/>
            </w:pPr>
            <w:r>
              <w:rPr>
                <w:sz w:val="20"/>
              </w:rPr>
              <w:t xml:space="preserve">Ввод в действие в сельской местности локальных водопроводов</w:t>
            </w:r>
          </w:p>
        </w:tc>
        <w:tc>
          <w:tcPr>
            <w:tcW w:w="850" w:type="dxa"/>
          </w:tcPr>
          <w:p>
            <w:pPr>
              <w:pStyle w:val="0"/>
            </w:pPr>
            <w:r>
              <w:rPr>
                <w:sz w:val="20"/>
              </w:rPr>
              <w:t xml:space="preserve">км</w:t>
            </w:r>
          </w:p>
        </w:tc>
        <w:tc>
          <w:tcPr>
            <w:tcW w:w="1077" w:type="dxa"/>
          </w:tcPr>
          <w:p>
            <w:pPr>
              <w:pStyle w:val="0"/>
              <w:jc w:val="center"/>
            </w:pPr>
            <w:r>
              <w:rPr>
                <w:sz w:val="20"/>
              </w:rPr>
              <w:t xml:space="preserve">31,5</w:t>
            </w:r>
          </w:p>
        </w:tc>
        <w:tc>
          <w:tcPr>
            <w:tcW w:w="1077" w:type="dxa"/>
          </w:tcPr>
          <w:p>
            <w:pPr>
              <w:pStyle w:val="0"/>
              <w:jc w:val="center"/>
            </w:pPr>
            <w:r>
              <w:rPr>
                <w:sz w:val="20"/>
              </w:rPr>
              <w:t xml:space="preserve">9,1</w:t>
            </w:r>
          </w:p>
        </w:tc>
        <w:tc>
          <w:tcPr>
            <w:tcW w:w="1191" w:type="dxa"/>
          </w:tcPr>
          <w:p>
            <w:pPr>
              <w:pStyle w:val="0"/>
            </w:pPr>
            <w:r>
              <w:rPr>
                <w:sz w:val="20"/>
              </w:rPr>
              <w:t xml:space="preserve">9,1</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Ввод в действие в сельской местности распределительных газовых сетей</w:t>
            </w:r>
          </w:p>
        </w:tc>
        <w:tc>
          <w:tcPr>
            <w:tcW w:w="850" w:type="dxa"/>
          </w:tcPr>
          <w:p>
            <w:pPr>
              <w:pStyle w:val="0"/>
            </w:pPr>
            <w:r>
              <w:rPr>
                <w:sz w:val="20"/>
              </w:rPr>
              <w:t xml:space="preserve">км</w:t>
            </w:r>
          </w:p>
        </w:tc>
        <w:tc>
          <w:tcPr>
            <w:tcW w:w="1077" w:type="dxa"/>
          </w:tcPr>
          <w:p>
            <w:pPr>
              <w:pStyle w:val="0"/>
              <w:jc w:val="center"/>
            </w:pPr>
            <w:r>
              <w:rPr>
                <w:sz w:val="20"/>
              </w:rPr>
              <w:t xml:space="preserve">12,9</w:t>
            </w:r>
          </w:p>
        </w:tc>
        <w:tc>
          <w:tcPr>
            <w:tcW w:w="1077" w:type="dxa"/>
          </w:tcPr>
          <w:p>
            <w:pPr>
              <w:pStyle w:val="0"/>
              <w:jc w:val="center"/>
            </w:pPr>
            <w:r>
              <w:rPr>
                <w:sz w:val="20"/>
              </w:rPr>
              <w:t xml:space="preserve">14,1</w:t>
            </w:r>
          </w:p>
        </w:tc>
        <w:tc>
          <w:tcPr>
            <w:tcW w:w="1191" w:type="dxa"/>
          </w:tcPr>
          <w:p>
            <w:pPr>
              <w:pStyle w:val="0"/>
            </w:pPr>
            <w:r>
              <w:rPr>
                <w:sz w:val="20"/>
              </w:rPr>
              <w:t xml:space="preserve">14,1</w:t>
            </w:r>
          </w:p>
        </w:tc>
      </w:tr>
      <w:tr>
        <w:tc>
          <w:tcPr>
            <w:tcW w:w="566" w:type="dxa"/>
          </w:tcPr>
          <w:p>
            <w:pPr>
              <w:pStyle w:val="0"/>
              <w:jc w:val="center"/>
            </w:pPr>
            <w:r>
              <w:rPr>
                <w:sz w:val="20"/>
              </w:rPr>
              <w:t xml:space="preserve">45.</w:t>
            </w:r>
          </w:p>
        </w:tc>
        <w:tc>
          <w:tcPr>
            <w:tcW w:w="2494" w:type="dxa"/>
          </w:tcPr>
          <w:p>
            <w:pPr>
              <w:pStyle w:val="0"/>
            </w:pPr>
            <w:r>
              <w:rPr>
                <w:sz w:val="20"/>
              </w:rPr>
              <w:t xml:space="preserve">Модернизация систем уличного наружного освещения муниципальных образований области</w:t>
            </w:r>
          </w:p>
        </w:tc>
        <w:tc>
          <w:tcPr>
            <w:tcW w:w="1927"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247" w:type="dxa"/>
          </w:tcPr>
          <w:p>
            <w:pPr>
              <w:pStyle w:val="0"/>
            </w:pPr>
            <w:r>
              <w:rPr>
                <w:sz w:val="20"/>
              </w:rPr>
              <w:t xml:space="preserve">Департамент жилищно-коммунального хозяйства Владимирской области</w:t>
            </w:r>
          </w:p>
        </w:tc>
        <w:tc>
          <w:tcPr>
            <w:tcW w:w="3118" w:type="dxa"/>
          </w:tcPr>
          <w:p>
            <w:pPr>
              <w:pStyle w:val="0"/>
            </w:pPr>
            <w:r>
              <w:rPr>
                <w:sz w:val="20"/>
              </w:rPr>
              <w:t xml:space="preserve">Количество установленных энергосберегающих светильников в системах уличного наружного освещения</w:t>
            </w:r>
          </w:p>
        </w:tc>
        <w:tc>
          <w:tcPr>
            <w:tcW w:w="850" w:type="dxa"/>
          </w:tcPr>
          <w:p>
            <w:pPr>
              <w:pStyle w:val="0"/>
            </w:pPr>
            <w:r>
              <w:rPr>
                <w:sz w:val="20"/>
              </w:rPr>
              <w:t xml:space="preserve">ед.</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c>
          <w:tcPr>
            <w:tcW w:w="1191" w:type="dxa"/>
          </w:tcPr>
          <w:p>
            <w:pPr>
              <w:pStyle w:val="0"/>
            </w:pPr>
            <w:r>
              <w:rPr>
                <w:sz w:val="20"/>
              </w:rPr>
              <w:t xml:space="preserve">1000</w:t>
            </w:r>
          </w:p>
        </w:tc>
      </w:tr>
      <w:tr>
        <w:tc>
          <w:tcPr>
            <w:tcW w:w="566" w:type="dxa"/>
            <w:vMerge w:val="restart"/>
          </w:tcPr>
          <w:p>
            <w:pPr>
              <w:pStyle w:val="0"/>
              <w:jc w:val="center"/>
            </w:pPr>
            <w:r>
              <w:rPr>
                <w:sz w:val="20"/>
              </w:rPr>
              <w:t xml:space="preserve">46.</w:t>
            </w:r>
          </w:p>
        </w:tc>
        <w:tc>
          <w:tcPr>
            <w:tcW w:w="2494" w:type="dxa"/>
            <w:vMerge w:val="restart"/>
          </w:tcPr>
          <w:p>
            <w:pPr>
              <w:pStyle w:val="0"/>
            </w:pPr>
            <w:r>
              <w:rPr>
                <w:sz w:val="20"/>
              </w:rPr>
              <w:t xml:space="preserve">Строительство, реконструкция и модернизация систем (объектов) коммунальной инфраструктуры в сфере теплоснабжения, водоснабжения, водоотведения</w:t>
            </w:r>
          </w:p>
        </w:tc>
        <w:tc>
          <w:tcPr>
            <w:tcW w:w="1927" w:type="dxa"/>
            <w:vMerge w:val="restart"/>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118" w:type="dxa"/>
          </w:tcPr>
          <w:p>
            <w:pPr>
              <w:pStyle w:val="0"/>
            </w:pPr>
            <w:r>
              <w:rPr>
                <w:sz w:val="20"/>
              </w:rPr>
              <w:t xml:space="preserve">Количество переведенных на индивидуальное отопление муниципальных квартир</w:t>
            </w:r>
          </w:p>
        </w:tc>
        <w:tc>
          <w:tcPr>
            <w:tcW w:w="850" w:type="dxa"/>
          </w:tcPr>
          <w:p>
            <w:pPr>
              <w:pStyle w:val="0"/>
            </w:pPr>
            <w:r>
              <w:rPr>
                <w:sz w:val="20"/>
              </w:rPr>
              <w:t xml:space="preserve">ед.</w:t>
            </w:r>
          </w:p>
        </w:tc>
        <w:tc>
          <w:tcPr>
            <w:tcW w:w="1077" w:type="dxa"/>
          </w:tcPr>
          <w:p>
            <w:pPr>
              <w:pStyle w:val="0"/>
              <w:jc w:val="center"/>
            </w:pPr>
            <w:r>
              <w:rPr>
                <w:sz w:val="20"/>
              </w:rPr>
              <w:t xml:space="preserve">15</w:t>
            </w:r>
          </w:p>
        </w:tc>
        <w:tc>
          <w:tcPr>
            <w:tcW w:w="1077" w:type="dxa"/>
          </w:tcPr>
          <w:p>
            <w:pPr>
              <w:pStyle w:val="0"/>
              <w:jc w:val="center"/>
            </w:pPr>
            <w:r>
              <w:rPr>
                <w:sz w:val="20"/>
              </w:rPr>
              <w:t xml:space="preserve">15</w:t>
            </w:r>
          </w:p>
        </w:tc>
        <w:tc>
          <w:tcPr>
            <w:tcW w:w="1191" w:type="dxa"/>
          </w:tcPr>
          <w:p>
            <w:pPr>
              <w:pStyle w:val="0"/>
            </w:pPr>
            <w:r>
              <w:rPr>
                <w:sz w:val="20"/>
              </w:rPr>
              <w:t xml:space="preserve">15</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построенных и модернизированных котельных</w:t>
            </w:r>
          </w:p>
        </w:tc>
        <w:tc>
          <w:tcPr>
            <w:tcW w:w="850" w:type="dxa"/>
          </w:tcPr>
          <w:p>
            <w:pPr>
              <w:pStyle w:val="0"/>
            </w:pPr>
            <w:r>
              <w:rPr>
                <w:sz w:val="20"/>
              </w:rPr>
              <w:t xml:space="preserve">ед.</w:t>
            </w:r>
          </w:p>
        </w:tc>
        <w:tc>
          <w:tcPr>
            <w:tcW w:w="1077" w:type="dxa"/>
          </w:tcPr>
          <w:p>
            <w:pPr>
              <w:pStyle w:val="0"/>
              <w:jc w:val="center"/>
            </w:pPr>
            <w:r>
              <w:rPr>
                <w:sz w:val="20"/>
              </w:rPr>
              <w:t xml:space="preserve">3</w:t>
            </w:r>
          </w:p>
        </w:tc>
        <w:tc>
          <w:tcPr>
            <w:tcW w:w="1077" w:type="dxa"/>
          </w:tcPr>
          <w:p>
            <w:pPr>
              <w:pStyle w:val="0"/>
              <w:jc w:val="center"/>
            </w:pPr>
            <w:r>
              <w:rPr>
                <w:sz w:val="20"/>
              </w:rPr>
              <w:t xml:space="preserve">3</w:t>
            </w:r>
          </w:p>
        </w:tc>
        <w:tc>
          <w:tcPr>
            <w:tcW w:w="1191" w:type="dxa"/>
          </w:tcPr>
          <w:p>
            <w:pPr>
              <w:pStyle w:val="0"/>
            </w:pPr>
            <w:r>
              <w:rPr>
                <w:sz w:val="20"/>
              </w:rPr>
              <w:t xml:space="preserve">3</w:t>
            </w:r>
          </w:p>
        </w:tc>
      </w:tr>
      <w:tr>
        <w:tc>
          <w:tcPr>
            <w:tcW w:w="566" w:type="dxa"/>
            <w:vMerge w:val="restart"/>
          </w:tcPr>
          <w:p>
            <w:pPr>
              <w:pStyle w:val="0"/>
              <w:jc w:val="center"/>
            </w:pPr>
            <w:r>
              <w:rPr>
                <w:sz w:val="20"/>
              </w:rPr>
              <w:t xml:space="preserve">47.</w:t>
            </w:r>
          </w:p>
        </w:tc>
        <w:tc>
          <w:tcPr>
            <w:tcW w:w="2494" w:type="dxa"/>
            <w:vMerge w:val="restart"/>
          </w:tcPr>
          <w:p>
            <w:pPr>
              <w:pStyle w:val="0"/>
            </w:pPr>
            <w:r>
              <w:rPr>
                <w:sz w:val="20"/>
              </w:rPr>
              <w:t xml:space="preserve">Мероприятия по благоустройству дворовых и (или) общественных территорий</w:t>
            </w:r>
          </w:p>
        </w:tc>
        <w:tc>
          <w:tcPr>
            <w:tcW w:w="1927" w:type="dxa"/>
            <w:vMerge w:val="restart"/>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118" w:type="dxa"/>
          </w:tcPr>
          <w:p>
            <w:pPr>
              <w:pStyle w:val="0"/>
            </w:pPr>
            <w:r>
              <w:rPr>
                <w:sz w:val="20"/>
              </w:rPr>
              <w:t xml:space="preserve">Количество благоустроенных дворовых территорий, включенных в государственные (муниципальные) программы формирования современной городской среды</w:t>
            </w:r>
          </w:p>
        </w:tc>
        <w:tc>
          <w:tcPr>
            <w:tcW w:w="850" w:type="dxa"/>
          </w:tcPr>
          <w:p>
            <w:pPr>
              <w:pStyle w:val="0"/>
            </w:pPr>
            <w:r>
              <w:rPr>
                <w:sz w:val="20"/>
              </w:rPr>
              <w:t xml:space="preserve">ед.</w:t>
            </w:r>
          </w:p>
        </w:tc>
        <w:tc>
          <w:tcPr>
            <w:tcW w:w="1077" w:type="dxa"/>
          </w:tcPr>
          <w:p>
            <w:pPr>
              <w:pStyle w:val="0"/>
              <w:jc w:val="center"/>
            </w:pPr>
            <w:r>
              <w:rPr>
                <w:sz w:val="20"/>
              </w:rPr>
              <w:t xml:space="preserve">20</w:t>
            </w:r>
          </w:p>
        </w:tc>
        <w:tc>
          <w:tcPr>
            <w:tcW w:w="1077" w:type="dxa"/>
          </w:tcPr>
          <w:p>
            <w:pPr>
              <w:pStyle w:val="0"/>
              <w:jc w:val="center"/>
            </w:pPr>
            <w:r>
              <w:rPr>
                <w:sz w:val="20"/>
              </w:rPr>
              <w:t xml:space="preserve">20</w:t>
            </w:r>
          </w:p>
        </w:tc>
        <w:tc>
          <w:tcPr>
            <w:tcW w:w="1191" w:type="dxa"/>
          </w:tcPr>
          <w:p>
            <w:pPr>
              <w:pStyle w:val="0"/>
            </w:pPr>
            <w:r>
              <w:rPr>
                <w:sz w:val="20"/>
              </w:rPr>
              <w:t xml:space="preserve">20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Реализованы мероприятия по благоустройству, предусмотренные государственными (муниципальными) программами формирования современной городской среды (количество обустроенных общественных пространств), не менее ед.</w:t>
            </w:r>
          </w:p>
        </w:tc>
        <w:tc>
          <w:tcPr>
            <w:tcW w:w="850" w:type="dxa"/>
          </w:tcPr>
          <w:p>
            <w:pPr>
              <w:pStyle w:val="0"/>
            </w:pPr>
            <w:r>
              <w:rPr>
                <w:sz w:val="20"/>
              </w:rPr>
              <w:t xml:space="preserve">ед.</w:t>
            </w:r>
          </w:p>
        </w:tc>
        <w:tc>
          <w:tcPr>
            <w:tcW w:w="1077" w:type="dxa"/>
          </w:tcPr>
          <w:p>
            <w:pPr>
              <w:pStyle w:val="0"/>
              <w:jc w:val="center"/>
            </w:pPr>
            <w:r>
              <w:rPr>
                <w:sz w:val="20"/>
              </w:rPr>
              <w:t xml:space="preserve">31</w:t>
            </w:r>
          </w:p>
        </w:tc>
        <w:tc>
          <w:tcPr>
            <w:tcW w:w="1077" w:type="dxa"/>
          </w:tcPr>
          <w:p>
            <w:pPr>
              <w:pStyle w:val="0"/>
              <w:jc w:val="center"/>
            </w:pPr>
            <w:r>
              <w:rPr>
                <w:sz w:val="20"/>
              </w:rPr>
              <w:t xml:space="preserve">31</w:t>
            </w:r>
          </w:p>
        </w:tc>
        <w:tc>
          <w:tcPr>
            <w:tcW w:w="1191" w:type="dxa"/>
          </w:tcPr>
          <w:p>
            <w:pPr>
              <w:pStyle w:val="0"/>
            </w:pPr>
            <w:r>
              <w:rPr>
                <w:sz w:val="20"/>
              </w:rPr>
              <w:t xml:space="preserve">31</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Среднее значение индекса качества городской среды по Владимирской области</w:t>
            </w:r>
          </w:p>
        </w:tc>
        <w:tc>
          <w:tcPr>
            <w:tcW w:w="850" w:type="dxa"/>
          </w:tcPr>
          <w:p>
            <w:pPr>
              <w:pStyle w:val="0"/>
            </w:pPr>
            <w:r>
              <w:rPr>
                <w:sz w:val="20"/>
              </w:rPr>
              <w:t xml:space="preserve">ед.</w:t>
            </w:r>
          </w:p>
        </w:tc>
        <w:tc>
          <w:tcPr>
            <w:tcW w:w="1077" w:type="dxa"/>
          </w:tcPr>
          <w:p>
            <w:pPr>
              <w:pStyle w:val="0"/>
              <w:jc w:val="center"/>
            </w:pPr>
            <w:r>
              <w:rPr>
                <w:sz w:val="20"/>
              </w:rPr>
              <w:t xml:space="preserve">191</w:t>
            </w:r>
          </w:p>
        </w:tc>
        <w:tc>
          <w:tcPr>
            <w:tcW w:w="1077" w:type="dxa"/>
          </w:tcPr>
          <w:p>
            <w:pPr>
              <w:pStyle w:val="0"/>
              <w:jc w:val="center"/>
            </w:pPr>
            <w:r>
              <w:rPr>
                <w:sz w:val="20"/>
              </w:rPr>
              <w:t xml:space="preserve">199</w:t>
            </w:r>
          </w:p>
        </w:tc>
        <w:tc>
          <w:tcPr>
            <w:tcW w:w="1191" w:type="dxa"/>
          </w:tcPr>
          <w:p>
            <w:pPr>
              <w:pStyle w:val="0"/>
            </w:pPr>
            <w:r>
              <w:rPr>
                <w:sz w:val="20"/>
              </w:rPr>
              <w:t xml:space="preserve">208</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городов с благоприятной городской средой</w:t>
            </w:r>
          </w:p>
        </w:tc>
        <w:tc>
          <w:tcPr>
            <w:tcW w:w="850" w:type="dxa"/>
          </w:tcPr>
          <w:p>
            <w:pPr>
              <w:pStyle w:val="0"/>
            </w:pPr>
            <w:r>
              <w:rPr>
                <w:sz w:val="20"/>
              </w:rPr>
              <w:t xml:space="preserve">ед.</w:t>
            </w:r>
          </w:p>
        </w:tc>
        <w:tc>
          <w:tcPr>
            <w:tcW w:w="1077" w:type="dxa"/>
          </w:tcPr>
          <w:p>
            <w:pPr>
              <w:pStyle w:val="0"/>
              <w:jc w:val="center"/>
            </w:pPr>
            <w:r>
              <w:rPr>
                <w:sz w:val="20"/>
              </w:rPr>
              <w:t xml:space="preserve">9</w:t>
            </w:r>
          </w:p>
        </w:tc>
        <w:tc>
          <w:tcPr>
            <w:tcW w:w="1077" w:type="dxa"/>
          </w:tcPr>
          <w:p>
            <w:pPr>
              <w:pStyle w:val="0"/>
              <w:jc w:val="center"/>
            </w:pPr>
            <w:r>
              <w:rPr>
                <w:sz w:val="20"/>
              </w:rPr>
              <w:t xml:space="preserve">10</w:t>
            </w:r>
          </w:p>
        </w:tc>
        <w:tc>
          <w:tcPr>
            <w:tcW w:w="1191" w:type="dxa"/>
          </w:tcPr>
          <w:p>
            <w:pPr>
              <w:pStyle w:val="0"/>
            </w:pPr>
            <w:r>
              <w:rPr>
                <w:sz w:val="20"/>
              </w:rPr>
              <w:t xml:space="preserve">12</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Доля городов с благоприятной городской средой от общего количества городов</w:t>
            </w:r>
          </w:p>
        </w:tc>
        <w:tc>
          <w:tcPr>
            <w:tcW w:w="850" w:type="dxa"/>
          </w:tcPr>
          <w:p>
            <w:pPr>
              <w:pStyle w:val="0"/>
            </w:pPr>
            <w:r>
              <w:rPr>
                <w:sz w:val="20"/>
              </w:rPr>
              <w:t xml:space="preserve">%</w:t>
            </w:r>
          </w:p>
        </w:tc>
        <w:tc>
          <w:tcPr>
            <w:tcW w:w="1077" w:type="dxa"/>
          </w:tcPr>
          <w:p>
            <w:pPr>
              <w:pStyle w:val="0"/>
              <w:jc w:val="center"/>
            </w:pPr>
            <w:r>
              <w:rPr>
                <w:sz w:val="20"/>
              </w:rPr>
              <w:t xml:space="preserve">39</w:t>
            </w:r>
          </w:p>
        </w:tc>
        <w:tc>
          <w:tcPr>
            <w:tcW w:w="1077" w:type="dxa"/>
          </w:tcPr>
          <w:p>
            <w:pPr>
              <w:pStyle w:val="0"/>
              <w:jc w:val="center"/>
            </w:pPr>
            <w:r>
              <w:rPr>
                <w:sz w:val="20"/>
              </w:rPr>
              <w:t xml:space="preserve">43</w:t>
            </w:r>
          </w:p>
        </w:tc>
        <w:tc>
          <w:tcPr>
            <w:tcW w:w="1191" w:type="dxa"/>
          </w:tcPr>
          <w:p>
            <w:pPr>
              <w:pStyle w:val="0"/>
            </w:pPr>
            <w:r>
              <w:rPr>
                <w:sz w:val="20"/>
              </w:rPr>
              <w:t xml:space="preserve">52</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w:t>
            </w:r>
          </w:p>
        </w:tc>
        <w:tc>
          <w:tcPr>
            <w:tcW w:w="850" w:type="dxa"/>
          </w:tcPr>
          <w:p>
            <w:pPr>
              <w:pStyle w:val="0"/>
            </w:pPr>
            <w:r>
              <w:rPr>
                <w:sz w:val="20"/>
              </w:rPr>
              <w:t xml:space="preserve">%</w:t>
            </w:r>
          </w:p>
        </w:tc>
        <w:tc>
          <w:tcPr>
            <w:tcW w:w="1077" w:type="dxa"/>
          </w:tcPr>
          <w:p>
            <w:pPr>
              <w:pStyle w:val="0"/>
              <w:jc w:val="center"/>
            </w:pPr>
            <w:r>
              <w:rPr>
                <w:sz w:val="20"/>
              </w:rPr>
              <w:t xml:space="preserve">15</w:t>
            </w:r>
          </w:p>
        </w:tc>
        <w:tc>
          <w:tcPr>
            <w:tcW w:w="1077" w:type="dxa"/>
          </w:tcPr>
          <w:p>
            <w:pPr>
              <w:pStyle w:val="0"/>
              <w:jc w:val="center"/>
            </w:pPr>
            <w:r>
              <w:rPr>
                <w:sz w:val="20"/>
              </w:rPr>
              <w:t xml:space="preserve">20</w:t>
            </w:r>
          </w:p>
        </w:tc>
        <w:tc>
          <w:tcPr>
            <w:tcW w:w="1191" w:type="dxa"/>
          </w:tcPr>
          <w:p>
            <w:pPr>
              <w:pStyle w:val="0"/>
            </w:pPr>
            <w:r>
              <w:rPr>
                <w:sz w:val="20"/>
              </w:rPr>
              <w:t xml:space="preserve">25</w:t>
            </w:r>
          </w:p>
        </w:tc>
      </w:tr>
      <w:tr>
        <w:tc>
          <w:tcPr>
            <w:tcW w:w="566" w:type="dxa"/>
            <w:vMerge w:val="restart"/>
          </w:tcPr>
          <w:p>
            <w:pPr>
              <w:pStyle w:val="0"/>
              <w:jc w:val="center"/>
            </w:pPr>
            <w:r>
              <w:rPr>
                <w:sz w:val="20"/>
              </w:rPr>
              <w:t xml:space="preserve">48.</w:t>
            </w:r>
          </w:p>
        </w:tc>
        <w:tc>
          <w:tcPr>
            <w:tcW w:w="2494" w:type="dxa"/>
            <w:vMerge w:val="restart"/>
          </w:tcPr>
          <w:p>
            <w:pPr>
              <w:pStyle w:val="0"/>
            </w:pPr>
            <w:r>
              <w:rPr>
                <w:sz w:val="20"/>
              </w:rPr>
              <w:t xml:space="preserve">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1927" w:type="dxa"/>
            <w:vMerge w:val="restart"/>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118" w:type="dxa"/>
          </w:tcPr>
          <w:p>
            <w:pPr>
              <w:pStyle w:val="0"/>
            </w:pPr>
            <w:r>
              <w:rPr>
                <w:sz w:val="20"/>
              </w:rPr>
              <w:t xml:space="preserve">Площадь расселяемого аварийного жилищного фонда</w:t>
            </w:r>
          </w:p>
        </w:tc>
        <w:tc>
          <w:tcPr>
            <w:tcW w:w="850" w:type="dxa"/>
          </w:tcPr>
          <w:p>
            <w:pPr>
              <w:pStyle w:val="0"/>
            </w:pPr>
            <w:r>
              <w:rPr>
                <w:sz w:val="20"/>
              </w:rPr>
              <w:t xml:space="preserve">тыс. кв. м</w:t>
            </w:r>
          </w:p>
        </w:tc>
        <w:tc>
          <w:tcPr>
            <w:tcW w:w="1077" w:type="dxa"/>
          </w:tcPr>
          <w:p>
            <w:pPr>
              <w:pStyle w:val="0"/>
              <w:jc w:val="center"/>
            </w:pPr>
            <w:r>
              <w:rPr>
                <w:sz w:val="20"/>
              </w:rPr>
              <w:t xml:space="preserve">11,35</w:t>
            </w:r>
          </w:p>
        </w:tc>
        <w:tc>
          <w:tcPr>
            <w:tcW w:w="1077" w:type="dxa"/>
          </w:tcPr>
          <w:p>
            <w:pPr>
              <w:pStyle w:val="0"/>
              <w:jc w:val="center"/>
            </w:pPr>
            <w:r>
              <w:rPr>
                <w:sz w:val="20"/>
              </w:rPr>
              <w:t xml:space="preserve">14,74</w:t>
            </w:r>
          </w:p>
        </w:tc>
        <w:tc>
          <w:tcPr>
            <w:tcW w:w="1191" w:type="dxa"/>
          </w:tcPr>
          <w:p>
            <w:pPr>
              <w:pStyle w:val="0"/>
            </w:pPr>
            <w:r>
              <w:rPr>
                <w:sz w:val="20"/>
              </w:rPr>
              <w:t xml:space="preserve">34,62</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граждан, проживающих в аварийном жилищном фонде</w:t>
            </w:r>
          </w:p>
        </w:tc>
        <w:tc>
          <w:tcPr>
            <w:tcW w:w="850" w:type="dxa"/>
          </w:tcPr>
          <w:p>
            <w:pPr>
              <w:pStyle w:val="0"/>
            </w:pPr>
            <w:r>
              <w:rPr>
                <w:sz w:val="20"/>
              </w:rPr>
              <w:t xml:space="preserve">чел.</w:t>
            </w:r>
          </w:p>
        </w:tc>
        <w:tc>
          <w:tcPr>
            <w:tcW w:w="1077" w:type="dxa"/>
          </w:tcPr>
          <w:p>
            <w:pPr>
              <w:pStyle w:val="0"/>
              <w:jc w:val="center"/>
            </w:pPr>
            <w:r>
              <w:rPr>
                <w:sz w:val="20"/>
              </w:rPr>
              <w:t xml:space="preserve">620</w:t>
            </w:r>
          </w:p>
        </w:tc>
        <w:tc>
          <w:tcPr>
            <w:tcW w:w="1077" w:type="dxa"/>
          </w:tcPr>
          <w:p>
            <w:pPr>
              <w:pStyle w:val="0"/>
              <w:jc w:val="center"/>
            </w:pPr>
            <w:r>
              <w:rPr>
                <w:sz w:val="20"/>
              </w:rPr>
              <w:t xml:space="preserve">820</w:t>
            </w:r>
          </w:p>
        </w:tc>
        <w:tc>
          <w:tcPr>
            <w:tcW w:w="1191" w:type="dxa"/>
          </w:tcPr>
          <w:p>
            <w:pPr>
              <w:pStyle w:val="0"/>
            </w:pPr>
            <w:r>
              <w:rPr>
                <w:sz w:val="20"/>
              </w:rPr>
              <w:t xml:space="preserve">1940</w:t>
            </w:r>
          </w:p>
        </w:tc>
      </w:tr>
      <w:tr>
        <w:tc>
          <w:tcPr>
            <w:tcW w:w="566" w:type="dxa"/>
            <w:vMerge w:val="restart"/>
          </w:tcPr>
          <w:p>
            <w:pPr>
              <w:pStyle w:val="0"/>
              <w:jc w:val="center"/>
            </w:pPr>
            <w:r>
              <w:rPr>
                <w:sz w:val="20"/>
              </w:rPr>
              <w:t xml:space="preserve">49.</w:t>
            </w:r>
          </w:p>
        </w:tc>
        <w:tc>
          <w:tcPr>
            <w:tcW w:w="2494" w:type="dxa"/>
            <w:vMerge w:val="restart"/>
          </w:tcPr>
          <w:p>
            <w:pPr>
              <w:pStyle w:val="0"/>
            </w:pPr>
            <w:r>
              <w:rPr>
                <w:sz w:val="20"/>
              </w:rPr>
              <w:t xml:space="preserve">Обеспечение проживающих в аварийном жилищном фонде граждан жилыми помещениями</w:t>
            </w:r>
          </w:p>
        </w:tc>
        <w:tc>
          <w:tcPr>
            <w:tcW w:w="1927" w:type="dxa"/>
            <w:vMerge w:val="restart"/>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118" w:type="dxa"/>
          </w:tcPr>
          <w:p>
            <w:pPr>
              <w:pStyle w:val="0"/>
            </w:pPr>
            <w:r>
              <w:rPr>
                <w:sz w:val="20"/>
              </w:rPr>
              <w:t xml:space="preserve">Площадь расселяемого аварийного жилищного фонда</w:t>
            </w:r>
          </w:p>
        </w:tc>
        <w:tc>
          <w:tcPr>
            <w:tcW w:w="850" w:type="dxa"/>
          </w:tcPr>
          <w:p>
            <w:pPr>
              <w:pStyle w:val="0"/>
            </w:pPr>
            <w:r>
              <w:rPr>
                <w:sz w:val="20"/>
              </w:rPr>
              <w:t xml:space="preserve">тыс. кв. м</w:t>
            </w:r>
          </w:p>
        </w:tc>
        <w:tc>
          <w:tcPr>
            <w:tcW w:w="1077" w:type="dxa"/>
          </w:tcPr>
          <w:p>
            <w:pPr>
              <w:pStyle w:val="0"/>
              <w:jc w:val="center"/>
            </w:pPr>
            <w:r>
              <w:rPr>
                <w:sz w:val="20"/>
              </w:rPr>
              <w:t xml:space="preserve">5,5</w:t>
            </w:r>
          </w:p>
        </w:tc>
        <w:tc>
          <w:tcPr>
            <w:tcW w:w="1077" w:type="dxa"/>
          </w:tcPr>
          <w:p>
            <w:pPr>
              <w:pStyle w:val="0"/>
              <w:jc w:val="center"/>
            </w:pPr>
            <w:r>
              <w:rPr>
                <w:sz w:val="20"/>
              </w:rPr>
              <w:t xml:space="preserve">5,5</w:t>
            </w:r>
          </w:p>
        </w:tc>
        <w:tc>
          <w:tcPr>
            <w:tcW w:w="1191" w:type="dxa"/>
          </w:tcPr>
          <w:p>
            <w:pPr>
              <w:pStyle w:val="0"/>
            </w:pPr>
            <w:r>
              <w:rPr>
                <w:sz w:val="20"/>
              </w:rPr>
              <w:t xml:space="preserve">5,5</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граждан, проживающих в аварийном жилищном фонде</w:t>
            </w:r>
          </w:p>
        </w:tc>
        <w:tc>
          <w:tcPr>
            <w:tcW w:w="850" w:type="dxa"/>
          </w:tcPr>
          <w:p>
            <w:pPr>
              <w:pStyle w:val="0"/>
            </w:pPr>
            <w:r>
              <w:rPr>
                <w:sz w:val="20"/>
              </w:rPr>
              <w:t xml:space="preserve">чел.</w:t>
            </w:r>
          </w:p>
        </w:tc>
        <w:tc>
          <w:tcPr>
            <w:tcW w:w="1077" w:type="dxa"/>
          </w:tcPr>
          <w:p>
            <w:pPr>
              <w:pStyle w:val="0"/>
              <w:jc w:val="center"/>
            </w:pPr>
            <w:r>
              <w:rPr>
                <w:sz w:val="20"/>
              </w:rPr>
              <w:t xml:space="preserve">323</w:t>
            </w:r>
          </w:p>
        </w:tc>
        <w:tc>
          <w:tcPr>
            <w:tcW w:w="1077" w:type="dxa"/>
          </w:tcPr>
          <w:p>
            <w:pPr>
              <w:pStyle w:val="0"/>
              <w:jc w:val="center"/>
            </w:pPr>
            <w:r>
              <w:rPr>
                <w:sz w:val="20"/>
              </w:rPr>
              <w:t xml:space="preserve">323</w:t>
            </w:r>
          </w:p>
        </w:tc>
        <w:tc>
          <w:tcPr>
            <w:tcW w:w="1191" w:type="dxa"/>
          </w:tcPr>
          <w:p>
            <w:pPr>
              <w:pStyle w:val="0"/>
            </w:pPr>
            <w:r>
              <w:rPr>
                <w:sz w:val="20"/>
              </w:rPr>
              <w:t xml:space="preserve">323</w:t>
            </w:r>
          </w:p>
        </w:tc>
      </w:tr>
      <w:tr>
        <w:tc>
          <w:tcPr>
            <w:tcW w:w="566" w:type="dxa"/>
            <w:vMerge w:val="restart"/>
          </w:tcPr>
          <w:p>
            <w:pPr>
              <w:pStyle w:val="0"/>
              <w:jc w:val="center"/>
            </w:pPr>
            <w:r>
              <w:rPr>
                <w:sz w:val="20"/>
              </w:rPr>
              <w:t xml:space="preserve">50.</w:t>
            </w:r>
          </w:p>
        </w:tc>
        <w:tc>
          <w:tcPr>
            <w:tcW w:w="2494" w:type="dxa"/>
            <w:vMerge w:val="restart"/>
          </w:tcPr>
          <w:p>
            <w:pPr>
              <w:pStyle w:val="0"/>
            </w:pPr>
            <w:r>
              <w:rPr>
                <w:sz w:val="20"/>
              </w:rPr>
              <w:t xml:space="preserve">Строительство и реконструкция (модернизация) объектов питьевого водоснабжения</w:t>
            </w:r>
          </w:p>
        </w:tc>
        <w:tc>
          <w:tcPr>
            <w:tcW w:w="1927" w:type="dxa"/>
            <w:vMerge w:val="restart"/>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118" w:type="dxa"/>
          </w:tcPr>
          <w:p>
            <w:pPr>
              <w:pStyle w:val="0"/>
            </w:pPr>
            <w:r>
              <w:rPr>
                <w:sz w:val="20"/>
              </w:rPr>
              <w:t xml:space="preserve">Доля населения Владимирской области, обеспеченного качественной питьевой водой из систем централизованного водоснабжения</w:t>
            </w:r>
          </w:p>
        </w:tc>
        <w:tc>
          <w:tcPr>
            <w:tcW w:w="850" w:type="dxa"/>
          </w:tcPr>
          <w:p>
            <w:pPr>
              <w:pStyle w:val="0"/>
            </w:pPr>
            <w:r>
              <w:rPr>
                <w:sz w:val="20"/>
              </w:rPr>
              <w:t xml:space="preserve">%</w:t>
            </w:r>
          </w:p>
        </w:tc>
        <w:tc>
          <w:tcPr>
            <w:tcW w:w="1077" w:type="dxa"/>
          </w:tcPr>
          <w:p>
            <w:pPr>
              <w:pStyle w:val="0"/>
              <w:jc w:val="center"/>
            </w:pPr>
            <w:r>
              <w:rPr>
                <w:sz w:val="20"/>
              </w:rPr>
              <w:t xml:space="preserve">88,0</w:t>
            </w:r>
          </w:p>
        </w:tc>
        <w:tc>
          <w:tcPr>
            <w:tcW w:w="1077" w:type="dxa"/>
          </w:tcPr>
          <w:p>
            <w:pPr>
              <w:pStyle w:val="0"/>
              <w:jc w:val="center"/>
            </w:pPr>
            <w:r>
              <w:rPr>
                <w:sz w:val="20"/>
              </w:rPr>
              <w:t xml:space="preserve">88,6</w:t>
            </w:r>
          </w:p>
        </w:tc>
        <w:tc>
          <w:tcPr>
            <w:tcW w:w="1191" w:type="dxa"/>
          </w:tcPr>
          <w:p>
            <w:pPr>
              <w:pStyle w:val="0"/>
            </w:pPr>
            <w:r>
              <w:rPr>
                <w:sz w:val="20"/>
              </w:rPr>
              <w:t xml:space="preserve">90,0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Доля городского населения Владимирской области, обеспеченного качественной питьевой водой из систем централизованного водоснабжения</w:t>
            </w:r>
          </w:p>
        </w:tc>
        <w:tc>
          <w:tcPr>
            <w:tcW w:w="850" w:type="dxa"/>
          </w:tcPr>
          <w:p>
            <w:pPr>
              <w:pStyle w:val="0"/>
            </w:pPr>
            <w:r>
              <w:rPr>
                <w:sz w:val="20"/>
              </w:rPr>
              <w:t xml:space="preserve">%</w:t>
            </w:r>
          </w:p>
        </w:tc>
        <w:tc>
          <w:tcPr>
            <w:tcW w:w="1077" w:type="dxa"/>
          </w:tcPr>
          <w:p>
            <w:pPr>
              <w:pStyle w:val="0"/>
              <w:jc w:val="center"/>
            </w:pPr>
            <w:r>
              <w:rPr>
                <w:sz w:val="20"/>
              </w:rPr>
              <w:t xml:space="preserve">96,8</w:t>
            </w:r>
          </w:p>
        </w:tc>
        <w:tc>
          <w:tcPr>
            <w:tcW w:w="1077" w:type="dxa"/>
          </w:tcPr>
          <w:p>
            <w:pPr>
              <w:pStyle w:val="0"/>
              <w:jc w:val="center"/>
            </w:pPr>
            <w:r>
              <w:rPr>
                <w:sz w:val="20"/>
              </w:rPr>
              <w:t xml:space="preserve">97,8</w:t>
            </w:r>
          </w:p>
        </w:tc>
        <w:tc>
          <w:tcPr>
            <w:tcW w:w="1191" w:type="dxa"/>
          </w:tcPr>
          <w:p>
            <w:pPr>
              <w:pStyle w:val="0"/>
            </w:pPr>
            <w:r>
              <w:rPr>
                <w:sz w:val="20"/>
              </w:rPr>
              <w:t xml:space="preserve">98,3</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Строительство и реконструкция крупных объектов</w:t>
            </w:r>
          </w:p>
        </w:tc>
        <w:tc>
          <w:tcPr>
            <w:tcW w:w="850" w:type="dxa"/>
          </w:tcPr>
          <w:p>
            <w:pPr>
              <w:pStyle w:val="0"/>
            </w:pPr>
            <w:r>
              <w:rPr>
                <w:sz w:val="20"/>
              </w:rPr>
              <w:t xml:space="preserve">шт.</w:t>
            </w:r>
          </w:p>
        </w:tc>
        <w:tc>
          <w:tcPr>
            <w:tcW w:w="1077" w:type="dxa"/>
          </w:tcPr>
          <w:p>
            <w:pPr>
              <w:pStyle w:val="0"/>
              <w:jc w:val="center"/>
            </w:pPr>
            <w:r>
              <w:rPr>
                <w:sz w:val="20"/>
              </w:rPr>
              <w:t xml:space="preserve">3</w:t>
            </w:r>
          </w:p>
        </w:tc>
        <w:tc>
          <w:tcPr>
            <w:tcW w:w="1077" w:type="dxa"/>
          </w:tcPr>
          <w:p>
            <w:pPr>
              <w:pStyle w:val="0"/>
              <w:jc w:val="center"/>
            </w:pPr>
            <w:r>
              <w:rPr>
                <w:sz w:val="20"/>
              </w:rPr>
              <w:t xml:space="preserve">5</w:t>
            </w:r>
          </w:p>
        </w:tc>
        <w:tc>
          <w:tcPr>
            <w:tcW w:w="1191" w:type="dxa"/>
          </w:tcPr>
          <w:p>
            <w:pPr>
              <w:pStyle w:val="0"/>
            </w:pPr>
            <w:r>
              <w:rPr>
                <w:sz w:val="20"/>
              </w:rPr>
              <w:t xml:space="preserve">7</w:t>
            </w:r>
          </w:p>
        </w:tc>
      </w:tr>
      <w:tr>
        <w:tc>
          <w:tcPr>
            <w:tcW w:w="566" w:type="dxa"/>
            <w:vMerge w:val="restart"/>
          </w:tcPr>
          <w:p>
            <w:pPr>
              <w:pStyle w:val="0"/>
              <w:jc w:val="center"/>
            </w:pPr>
            <w:r>
              <w:rPr>
                <w:sz w:val="20"/>
              </w:rPr>
              <w:t xml:space="preserve">51.</w:t>
            </w:r>
          </w:p>
        </w:tc>
        <w:tc>
          <w:tcPr>
            <w:tcW w:w="2494" w:type="dxa"/>
            <w:vMerge w:val="restart"/>
          </w:tcPr>
          <w:p>
            <w:pPr>
              <w:pStyle w:val="0"/>
            </w:pPr>
            <w:r>
              <w:rPr>
                <w:sz w:val="20"/>
              </w:rPr>
              <w:t xml:space="preserve">Строительство, реконструкция и модернизация систем (объектов) теплоснабжения, водоснабжения, водоотведения и очистки сточных вод и обеспечение бесперебойного предоставления коммунальных услуг</w:t>
            </w:r>
          </w:p>
        </w:tc>
        <w:tc>
          <w:tcPr>
            <w:tcW w:w="1927" w:type="dxa"/>
            <w:vMerge w:val="restart"/>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118" w:type="dxa"/>
          </w:tcPr>
          <w:p>
            <w:pPr>
              <w:pStyle w:val="0"/>
            </w:pPr>
            <w:r>
              <w:rPr>
                <w:sz w:val="20"/>
              </w:rPr>
              <w:t xml:space="preserve">Снижение доли уличной водопроводной сети, нуждающейся в замене</w:t>
            </w:r>
          </w:p>
        </w:tc>
        <w:tc>
          <w:tcPr>
            <w:tcW w:w="850" w:type="dxa"/>
          </w:tcPr>
          <w:p>
            <w:pPr>
              <w:pStyle w:val="0"/>
            </w:pPr>
            <w:r>
              <w:rPr>
                <w:sz w:val="20"/>
              </w:rPr>
              <w:t xml:space="preserve">%</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191" w:type="dxa"/>
          </w:tcPr>
          <w:p>
            <w:pPr>
              <w:pStyle w:val="0"/>
            </w:pPr>
            <w:r>
              <w:rPr>
                <w:sz w:val="20"/>
              </w:rPr>
              <w:t xml:space="preserve">1</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Снижение доли уличной канализационной сети, нуждающейся в замене</w:t>
            </w:r>
          </w:p>
        </w:tc>
        <w:tc>
          <w:tcPr>
            <w:tcW w:w="850" w:type="dxa"/>
          </w:tcPr>
          <w:p>
            <w:pPr>
              <w:pStyle w:val="0"/>
            </w:pPr>
            <w:r>
              <w:rPr>
                <w:sz w:val="20"/>
              </w:rPr>
              <w:t xml:space="preserve">%</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191" w:type="dxa"/>
          </w:tcPr>
          <w:p>
            <w:pPr>
              <w:pStyle w:val="0"/>
            </w:pPr>
            <w:r>
              <w:rPr>
                <w:sz w:val="20"/>
              </w:rPr>
              <w:t xml:space="preserve">1</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Снижение доли тепловых сетей, нуждающихся в замене</w:t>
            </w:r>
          </w:p>
        </w:tc>
        <w:tc>
          <w:tcPr>
            <w:tcW w:w="850" w:type="dxa"/>
          </w:tcPr>
          <w:p>
            <w:pPr>
              <w:pStyle w:val="0"/>
            </w:pPr>
            <w:r>
              <w:rPr>
                <w:sz w:val="20"/>
              </w:rPr>
              <w:t xml:space="preserve">%</w:t>
            </w:r>
          </w:p>
        </w:tc>
        <w:tc>
          <w:tcPr>
            <w:tcW w:w="1077" w:type="dxa"/>
          </w:tcPr>
          <w:p>
            <w:pPr>
              <w:pStyle w:val="0"/>
              <w:jc w:val="center"/>
            </w:pPr>
            <w:r>
              <w:rPr>
                <w:sz w:val="20"/>
              </w:rPr>
              <w:t xml:space="preserve">0,3</w:t>
            </w:r>
          </w:p>
        </w:tc>
        <w:tc>
          <w:tcPr>
            <w:tcW w:w="1077" w:type="dxa"/>
          </w:tcPr>
          <w:p>
            <w:pPr>
              <w:pStyle w:val="0"/>
              <w:jc w:val="center"/>
            </w:pPr>
            <w:r>
              <w:rPr>
                <w:sz w:val="20"/>
              </w:rPr>
              <w:t xml:space="preserve">0,3</w:t>
            </w:r>
          </w:p>
        </w:tc>
        <w:tc>
          <w:tcPr>
            <w:tcW w:w="1191" w:type="dxa"/>
          </w:tcPr>
          <w:p>
            <w:pPr>
              <w:pStyle w:val="0"/>
            </w:pPr>
            <w:r>
              <w:rPr>
                <w:sz w:val="20"/>
              </w:rPr>
              <w:t xml:space="preserve">0,3</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Сокращение износа коммунальной инфраструктуры</w:t>
            </w:r>
          </w:p>
        </w:tc>
        <w:tc>
          <w:tcPr>
            <w:tcW w:w="850" w:type="dxa"/>
          </w:tcPr>
          <w:p>
            <w:pPr>
              <w:pStyle w:val="0"/>
            </w:pPr>
            <w:r>
              <w:rPr>
                <w:sz w:val="20"/>
              </w:rPr>
              <w:t xml:space="preserve">%</w:t>
            </w:r>
          </w:p>
        </w:tc>
        <w:tc>
          <w:tcPr>
            <w:tcW w:w="1077" w:type="dxa"/>
          </w:tcPr>
          <w:p>
            <w:pPr>
              <w:pStyle w:val="0"/>
              <w:jc w:val="center"/>
            </w:pPr>
            <w:r>
              <w:rPr>
                <w:sz w:val="20"/>
              </w:rPr>
              <w:t xml:space="preserve">0,5</w:t>
            </w:r>
          </w:p>
        </w:tc>
        <w:tc>
          <w:tcPr>
            <w:tcW w:w="1077" w:type="dxa"/>
          </w:tcPr>
          <w:p>
            <w:pPr>
              <w:pStyle w:val="0"/>
              <w:jc w:val="center"/>
            </w:pPr>
            <w:r>
              <w:rPr>
                <w:sz w:val="20"/>
              </w:rPr>
              <w:t xml:space="preserve">0,5</w:t>
            </w:r>
          </w:p>
        </w:tc>
        <w:tc>
          <w:tcPr>
            <w:tcW w:w="1191" w:type="dxa"/>
          </w:tcPr>
          <w:p>
            <w:pPr>
              <w:pStyle w:val="0"/>
            </w:pPr>
            <w:r>
              <w:rPr>
                <w:sz w:val="20"/>
              </w:rPr>
              <w:t xml:space="preserve">0,5</w:t>
            </w:r>
          </w:p>
        </w:tc>
      </w:tr>
      <w:tr>
        <w:tc>
          <w:tcPr>
            <w:tcW w:w="566" w:type="dxa"/>
          </w:tcPr>
          <w:p>
            <w:pPr>
              <w:pStyle w:val="0"/>
              <w:jc w:val="center"/>
            </w:pPr>
            <w:r>
              <w:rPr>
                <w:sz w:val="20"/>
              </w:rPr>
              <w:t xml:space="preserve">52.</w:t>
            </w:r>
          </w:p>
        </w:tc>
        <w:tc>
          <w:tcPr>
            <w:tcW w:w="2494" w:type="dxa"/>
          </w:tcPr>
          <w:p>
            <w:pPr>
              <w:pStyle w:val="0"/>
            </w:pPr>
            <w:r>
              <w:rPr>
                <w:sz w:val="20"/>
              </w:rPr>
              <w:t xml:space="preserve">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1927" w:type="dxa"/>
          </w:tcPr>
          <w:p>
            <w:pPr>
              <w:pStyle w:val="0"/>
            </w:pPr>
            <w:r>
              <w:rPr>
                <w:sz w:val="20"/>
              </w:rPr>
              <w:t xml:space="preserve">Государственная программа "Дорожное хозяйство Владимирской области на 2014 - 2025 годы"</w:t>
            </w:r>
          </w:p>
        </w:tc>
        <w:tc>
          <w:tcPr>
            <w:tcW w:w="1247" w:type="dxa"/>
          </w:tcPr>
          <w:p>
            <w:pPr>
              <w:pStyle w:val="0"/>
            </w:pPr>
            <w:r>
              <w:rPr>
                <w:sz w:val="20"/>
              </w:rPr>
              <w:t xml:space="preserve">Департамент транспорта и дорожного хозяйства Владимирской области</w:t>
            </w:r>
          </w:p>
        </w:tc>
        <w:tc>
          <w:tcPr>
            <w:tcW w:w="3118" w:type="dxa"/>
          </w:tcPr>
          <w:p>
            <w:pPr>
              <w:pStyle w:val="0"/>
            </w:pPr>
            <w:r>
              <w:rPr>
                <w:sz w:val="20"/>
              </w:rPr>
              <w:t xml:space="preserve">Прирост количества сельских населенных пунктов, обеспеченных постоянной круглогодичной связью с сетью автомобильных дорог общего пользования по дорогам местного значения с твердым покрытием</w:t>
            </w:r>
          </w:p>
        </w:tc>
        <w:tc>
          <w:tcPr>
            <w:tcW w:w="850" w:type="dxa"/>
          </w:tcPr>
          <w:p>
            <w:pPr>
              <w:pStyle w:val="0"/>
            </w:pPr>
            <w:r>
              <w:rPr>
                <w:sz w:val="20"/>
              </w:rPr>
              <w:t xml:space="preserve">шт.</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191" w:type="dxa"/>
          </w:tcPr>
          <w:p>
            <w:pPr>
              <w:pStyle w:val="0"/>
            </w:pPr>
            <w:r>
              <w:rPr>
                <w:sz w:val="20"/>
              </w:rPr>
              <w:t xml:space="preserve">1</w:t>
            </w:r>
          </w:p>
        </w:tc>
      </w:tr>
      <w:tr>
        <w:tc>
          <w:tcPr>
            <w:tcW w:w="566" w:type="dxa"/>
          </w:tcPr>
          <w:p>
            <w:pPr>
              <w:pStyle w:val="0"/>
              <w:jc w:val="center"/>
            </w:pPr>
            <w:r>
              <w:rPr>
                <w:sz w:val="20"/>
              </w:rPr>
              <w:t xml:space="preserve">53.</w:t>
            </w:r>
          </w:p>
        </w:tc>
        <w:tc>
          <w:tcPr>
            <w:tcW w:w="2494" w:type="dxa"/>
          </w:tcPr>
          <w:p>
            <w:pPr>
              <w:pStyle w:val="0"/>
            </w:pPr>
            <w:r>
              <w:rPr>
                <w:sz w:val="20"/>
              </w:rPr>
              <w:t xml:space="preserve">Дорожная деятельность муниципальных образований</w:t>
            </w:r>
          </w:p>
        </w:tc>
        <w:tc>
          <w:tcPr>
            <w:tcW w:w="1927" w:type="dxa"/>
          </w:tcPr>
          <w:p>
            <w:pPr>
              <w:pStyle w:val="0"/>
            </w:pPr>
            <w:r>
              <w:rPr>
                <w:sz w:val="20"/>
              </w:rPr>
              <w:t xml:space="preserve">Государственная программа "Дорожное хозяйство Владимирской области на 2014 - 2025 годы"</w:t>
            </w:r>
          </w:p>
        </w:tc>
        <w:tc>
          <w:tcPr>
            <w:tcW w:w="1247" w:type="dxa"/>
          </w:tcPr>
          <w:p>
            <w:pPr>
              <w:pStyle w:val="0"/>
            </w:pPr>
            <w:r>
              <w:rPr>
                <w:sz w:val="20"/>
              </w:rPr>
              <w:t xml:space="preserve">Департамент транспорта и дорожного хозяйства Владимирской области</w:t>
            </w:r>
          </w:p>
        </w:tc>
        <w:tc>
          <w:tcPr>
            <w:tcW w:w="3118" w:type="dxa"/>
          </w:tcPr>
          <w:p>
            <w:pPr>
              <w:pStyle w:val="0"/>
            </w:pPr>
            <w:r>
              <w:rPr>
                <w:sz w:val="20"/>
              </w:rPr>
              <w:t xml:space="preserve">Протяженность автомобильных дорог общего пользования местного значения, на которых осуществлялась дорожная деятельность</w:t>
            </w:r>
          </w:p>
        </w:tc>
        <w:tc>
          <w:tcPr>
            <w:tcW w:w="850" w:type="dxa"/>
          </w:tcPr>
          <w:p>
            <w:pPr>
              <w:pStyle w:val="0"/>
            </w:pPr>
            <w:r>
              <w:rPr>
                <w:sz w:val="20"/>
              </w:rPr>
              <w:t xml:space="preserve">км</w:t>
            </w:r>
          </w:p>
        </w:tc>
        <w:tc>
          <w:tcPr>
            <w:tcW w:w="1077" w:type="dxa"/>
          </w:tcPr>
          <w:p>
            <w:pPr>
              <w:pStyle w:val="0"/>
              <w:jc w:val="center"/>
            </w:pPr>
            <w:r>
              <w:rPr>
                <w:sz w:val="20"/>
              </w:rPr>
              <w:t xml:space="preserve">10,0</w:t>
            </w:r>
          </w:p>
        </w:tc>
        <w:tc>
          <w:tcPr>
            <w:tcW w:w="1077" w:type="dxa"/>
          </w:tcPr>
          <w:p>
            <w:pPr>
              <w:pStyle w:val="0"/>
              <w:jc w:val="center"/>
            </w:pPr>
            <w:r>
              <w:rPr>
                <w:sz w:val="20"/>
              </w:rPr>
              <w:t xml:space="preserve">30,0</w:t>
            </w:r>
          </w:p>
        </w:tc>
        <w:tc>
          <w:tcPr>
            <w:tcW w:w="1191" w:type="dxa"/>
          </w:tcPr>
          <w:p>
            <w:pPr>
              <w:pStyle w:val="0"/>
            </w:pPr>
            <w:r>
              <w:rPr>
                <w:sz w:val="20"/>
              </w:rPr>
              <w:t xml:space="preserve">20,0</w:t>
            </w:r>
          </w:p>
        </w:tc>
      </w:tr>
      <w:tr>
        <w:tc>
          <w:tcPr>
            <w:tcW w:w="566" w:type="dxa"/>
          </w:tcPr>
          <w:p>
            <w:pPr>
              <w:pStyle w:val="0"/>
              <w:jc w:val="center"/>
            </w:pPr>
            <w:r>
              <w:rPr>
                <w:sz w:val="20"/>
              </w:rPr>
              <w:t xml:space="preserve">54.</w:t>
            </w:r>
          </w:p>
        </w:tc>
        <w:tc>
          <w:tcPr>
            <w:tcW w:w="2494" w:type="dxa"/>
          </w:tcPr>
          <w:p>
            <w:pPr>
              <w:pStyle w:val="0"/>
            </w:pPr>
            <w:r>
              <w:rPr>
                <w:sz w:val="20"/>
              </w:rPr>
              <w:t xml:space="preserve">Дорожная деятельность в рамках реализации национального проекта "Безопасные и качественные автомобильные дороги"</w:t>
            </w:r>
          </w:p>
        </w:tc>
        <w:tc>
          <w:tcPr>
            <w:tcW w:w="1927" w:type="dxa"/>
          </w:tcPr>
          <w:p>
            <w:pPr>
              <w:pStyle w:val="0"/>
            </w:pPr>
            <w:r>
              <w:rPr>
                <w:sz w:val="20"/>
              </w:rPr>
              <w:t xml:space="preserve">Государственная программа "Дорожное хозяйство Владимирской области на 2014 - 2025 годы"</w:t>
            </w:r>
          </w:p>
        </w:tc>
        <w:tc>
          <w:tcPr>
            <w:tcW w:w="1247" w:type="dxa"/>
          </w:tcPr>
          <w:p>
            <w:pPr>
              <w:pStyle w:val="0"/>
            </w:pPr>
            <w:r>
              <w:rPr>
                <w:sz w:val="20"/>
              </w:rPr>
              <w:t xml:space="preserve">Департамент транспорта и дорожного хозяйства Владимирской области</w:t>
            </w:r>
          </w:p>
        </w:tc>
        <w:tc>
          <w:tcPr>
            <w:tcW w:w="3118" w:type="dxa"/>
          </w:tcPr>
          <w:p>
            <w:pPr>
              <w:pStyle w:val="0"/>
            </w:pPr>
            <w:r>
              <w:rPr>
                <w:sz w:val="20"/>
              </w:rPr>
              <w:t xml:space="preserve">Протяженность автомобильных дорог общего пользования местного значения, на которых осуществлялась дорожная деятельность</w:t>
            </w:r>
          </w:p>
        </w:tc>
        <w:tc>
          <w:tcPr>
            <w:tcW w:w="850" w:type="dxa"/>
          </w:tcPr>
          <w:p>
            <w:pPr>
              <w:pStyle w:val="0"/>
            </w:pPr>
            <w:r>
              <w:rPr>
                <w:sz w:val="20"/>
              </w:rPr>
              <w:t xml:space="preserve">км</w:t>
            </w:r>
          </w:p>
        </w:tc>
        <w:tc>
          <w:tcPr>
            <w:tcW w:w="1077" w:type="dxa"/>
          </w:tcPr>
          <w:p>
            <w:pPr>
              <w:pStyle w:val="0"/>
              <w:jc w:val="center"/>
            </w:pPr>
            <w:r>
              <w:rPr>
                <w:sz w:val="20"/>
              </w:rPr>
              <w:t xml:space="preserve">21,6</w:t>
            </w:r>
          </w:p>
        </w:tc>
        <w:tc>
          <w:tcPr>
            <w:tcW w:w="1077" w:type="dxa"/>
          </w:tcPr>
          <w:p>
            <w:pPr>
              <w:pStyle w:val="0"/>
              <w:jc w:val="center"/>
            </w:pPr>
            <w:r>
              <w:rPr>
                <w:sz w:val="20"/>
              </w:rPr>
              <w:t xml:space="preserve">19,8</w:t>
            </w:r>
          </w:p>
        </w:tc>
        <w:tc>
          <w:tcPr>
            <w:tcW w:w="1191" w:type="dxa"/>
          </w:tcPr>
          <w:p>
            <w:pPr>
              <w:pStyle w:val="0"/>
            </w:pPr>
            <w:r>
              <w:rPr>
                <w:sz w:val="20"/>
              </w:rPr>
              <w:t xml:space="preserve">22,0</w:t>
            </w:r>
          </w:p>
        </w:tc>
      </w:tr>
      <w:tr>
        <w:tc>
          <w:tcPr>
            <w:tcW w:w="566" w:type="dxa"/>
          </w:tcPr>
          <w:p>
            <w:pPr>
              <w:pStyle w:val="0"/>
              <w:jc w:val="center"/>
            </w:pPr>
            <w:r>
              <w:rPr>
                <w:sz w:val="20"/>
              </w:rPr>
              <w:t xml:space="preserve">55.</w:t>
            </w:r>
          </w:p>
        </w:tc>
        <w:tc>
          <w:tcPr>
            <w:tcW w:w="2494" w:type="dxa"/>
          </w:tcPr>
          <w:p>
            <w:pPr>
              <w:pStyle w:val="0"/>
            </w:pPr>
            <w:r>
              <w:rPr>
                <w:sz w:val="20"/>
              </w:rPr>
              <w:t xml:space="preserve">Обеспечение комплексного развития сельских территорий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
        </w:tc>
        <w:tc>
          <w:tcPr>
            <w:tcW w:w="1927" w:type="dxa"/>
          </w:tcPr>
          <w:p>
            <w:pPr>
              <w:pStyle w:val="0"/>
            </w:pPr>
            <w:r>
              <w:rPr>
                <w:sz w:val="20"/>
              </w:rPr>
              <w:t xml:space="preserve">Государственная программа "Дорожное хозяйство Владимирской области на 2014 - 2025 годы"</w:t>
            </w:r>
          </w:p>
        </w:tc>
        <w:tc>
          <w:tcPr>
            <w:tcW w:w="1247" w:type="dxa"/>
          </w:tcPr>
          <w:p>
            <w:pPr>
              <w:pStyle w:val="0"/>
            </w:pPr>
            <w:r>
              <w:rPr>
                <w:sz w:val="20"/>
              </w:rPr>
              <w:t xml:space="preserve">Департамент транспорта и дорожного хозяйства Владимирской области</w:t>
            </w:r>
          </w:p>
        </w:tc>
        <w:tc>
          <w:tcPr>
            <w:tcW w:w="3118" w:type="dxa"/>
          </w:tcPr>
          <w:p>
            <w:pPr>
              <w:pStyle w:val="0"/>
            </w:pPr>
            <w:r>
              <w:rPr>
                <w:sz w:val="20"/>
              </w:rPr>
              <w:t xml:space="preserve">Ввод в эксплуатацию автомобильных дорог</w:t>
            </w:r>
          </w:p>
        </w:tc>
        <w:tc>
          <w:tcPr>
            <w:tcW w:w="850" w:type="dxa"/>
          </w:tcPr>
          <w:p>
            <w:pPr>
              <w:pStyle w:val="0"/>
            </w:pPr>
            <w:r>
              <w:rPr>
                <w:sz w:val="20"/>
              </w:rPr>
              <w:t xml:space="preserve">км</w:t>
            </w:r>
          </w:p>
        </w:tc>
        <w:tc>
          <w:tcPr>
            <w:tcW w:w="1077" w:type="dxa"/>
          </w:tcPr>
          <w:p>
            <w:pPr>
              <w:pStyle w:val="0"/>
              <w:jc w:val="center"/>
            </w:pPr>
            <w:r>
              <w:rPr>
                <w:sz w:val="20"/>
              </w:rPr>
              <w:t xml:space="preserve">2,0</w:t>
            </w:r>
          </w:p>
        </w:tc>
        <w:tc>
          <w:tcPr>
            <w:tcW w:w="1077" w:type="dxa"/>
          </w:tcPr>
          <w:p>
            <w:pPr>
              <w:pStyle w:val="0"/>
              <w:jc w:val="center"/>
            </w:pPr>
            <w:r>
              <w:rPr>
                <w:sz w:val="20"/>
              </w:rPr>
              <w:t xml:space="preserve">3,8</w:t>
            </w:r>
          </w:p>
        </w:tc>
        <w:tc>
          <w:tcPr>
            <w:tcW w:w="1191" w:type="dxa"/>
          </w:tcPr>
          <w:p>
            <w:pPr>
              <w:pStyle w:val="0"/>
            </w:pPr>
            <w:r>
              <w:rPr>
                <w:sz w:val="20"/>
              </w:rPr>
              <w:t xml:space="preserve">-</w:t>
            </w:r>
          </w:p>
        </w:tc>
      </w:tr>
      <w:tr>
        <w:tc>
          <w:tcPr>
            <w:tcW w:w="566" w:type="dxa"/>
          </w:tcPr>
          <w:p>
            <w:pPr>
              <w:pStyle w:val="0"/>
              <w:jc w:val="center"/>
            </w:pPr>
            <w:r>
              <w:rPr>
                <w:sz w:val="20"/>
              </w:rPr>
              <w:t xml:space="preserve">56.</w:t>
            </w:r>
          </w:p>
        </w:tc>
        <w:tc>
          <w:tcPr>
            <w:tcW w:w="2494" w:type="dxa"/>
          </w:tcPr>
          <w:p>
            <w:pPr>
              <w:pStyle w:val="0"/>
            </w:pPr>
            <w:r>
              <w:rPr>
                <w:sz w:val="20"/>
              </w:rPr>
              <w:t xml:space="preserve">Обеспечение равной доступности услуг транспорта общего пользования для отдельных категорий граждан</w:t>
            </w:r>
          </w:p>
        </w:tc>
        <w:tc>
          <w:tcPr>
            <w:tcW w:w="1927" w:type="dxa"/>
          </w:tcPr>
          <w:p>
            <w:pPr>
              <w:pStyle w:val="0"/>
            </w:pPr>
            <w:r>
              <w:rPr>
                <w:sz w:val="20"/>
              </w:rPr>
            </w:r>
          </w:p>
        </w:tc>
        <w:tc>
          <w:tcPr>
            <w:tcW w:w="1247" w:type="dxa"/>
          </w:tcPr>
          <w:p>
            <w:pPr>
              <w:pStyle w:val="0"/>
            </w:pPr>
            <w:r>
              <w:rPr>
                <w:sz w:val="20"/>
              </w:rPr>
              <w:t xml:space="preserve">Департамент транспорта и дорожного хозяйства Владимирской области</w:t>
            </w:r>
          </w:p>
        </w:tc>
        <w:tc>
          <w:tcPr>
            <w:tcW w:w="3118" w:type="dxa"/>
          </w:tcPr>
          <w:p>
            <w:pPr>
              <w:pStyle w:val="0"/>
            </w:pPr>
            <w:r>
              <w:rPr>
                <w:sz w:val="20"/>
              </w:rPr>
              <w:t xml:space="preserve">Доля граждан, ежемесячно пользующихся правом проезда по месячным социальным проездным билетам</w:t>
            </w:r>
          </w:p>
        </w:tc>
        <w:tc>
          <w:tcPr>
            <w:tcW w:w="850" w:type="dxa"/>
          </w:tcPr>
          <w:p>
            <w:pPr>
              <w:pStyle w:val="0"/>
            </w:pPr>
            <w:r>
              <w:rPr>
                <w:sz w:val="20"/>
              </w:rPr>
              <w:t xml:space="preserve">%</w:t>
            </w:r>
          </w:p>
        </w:tc>
        <w:tc>
          <w:tcPr>
            <w:tcW w:w="1077" w:type="dxa"/>
          </w:tcPr>
          <w:p>
            <w:pPr>
              <w:pStyle w:val="0"/>
              <w:jc w:val="center"/>
            </w:pPr>
            <w:r>
              <w:rPr>
                <w:sz w:val="20"/>
              </w:rPr>
              <w:t xml:space="preserve">12</w:t>
            </w:r>
          </w:p>
        </w:tc>
        <w:tc>
          <w:tcPr>
            <w:tcW w:w="1077" w:type="dxa"/>
          </w:tcPr>
          <w:p>
            <w:pPr>
              <w:pStyle w:val="0"/>
              <w:jc w:val="center"/>
            </w:pPr>
            <w:r>
              <w:rPr>
                <w:sz w:val="20"/>
              </w:rPr>
              <w:t xml:space="preserve">12,5</w:t>
            </w:r>
          </w:p>
        </w:tc>
        <w:tc>
          <w:tcPr>
            <w:tcW w:w="1191" w:type="dxa"/>
          </w:tcPr>
          <w:p>
            <w:pPr>
              <w:pStyle w:val="0"/>
            </w:pPr>
            <w:r>
              <w:rPr>
                <w:sz w:val="20"/>
              </w:rPr>
              <w:t xml:space="preserve">13,0</w:t>
            </w:r>
          </w:p>
        </w:tc>
      </w:tr>
      <w:tr>
        <w:tc>
          <w:tcPr>
            <w:tcW w:w="566" w:type="dxa"/>
          </w:tcPr>
          <w:p>
            <w:pPr>
              <w:pStyle w:val="0"/>
              <w:jc w:val="center"/>
            </w:pPr>
            <w:r>
              <w:rPr>
                <w:sz w:val="20"/>
              </w:rPr>
              <w:t xml:space="preserve">57.</w:t>
            </w:r>
          </w:p>
        </w:tc>
        <w:tc>
          <w:tcPr>
            <w:tcW w:w="2494" w:type="dxa"/>
          </w:tcPr>
          <w:p>
            <w:pPr>
              <w:pStyle w:val="0"/>
            </w:pPr>
            <w:r>
              <w:rPr>
                <w:sz w:val="20"/>
              </w:rPr>
              <w:t xml:space="preserve">Строительство и реконструкция очистных сооружений, осуществляющих сброс в малые реки области</w:t>
            </w:r>
          </w:p>
        </w:tc>
        <w:tc>
          <w:tcPr>
            <w:tcW w:w="1927"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247" w:type="dxa"/>
          </w:tcPr>
          <w:p>
            <w:pPr>
              <w:pStyle w:val="0"/>
            </w:pPr>
            <w:r>
              <w:rPr>
                <w:sz w:val="20"/>
              </w:rPr>
              <w:t xml:space="preserve">Департамент природопользования и охраны окружающей среды Владимирской области</w:t>
            </w:r>
          </w:p>
        </w:tc>
        <w:tc>
          <w:tcPr>
            <w:tcW w:w="3118" w:type="dxa"/>
          </w:tcPr>
          <w:p>
            <w:pPr>
              <w:pStyle w:val="0"/>
            </w:pPr>
            <w:r>
              <w:rPr>
                <w:sz w:val="20"/>
              </w:rPr>
              <w:t xml:space="preserve">Количество реконструированных и (или) построенных очистных сооружений, сброс с которых осуществляется в малые реки</w:t>
            </w:r>
          </w:p>
        </w:tc>
        <w:tc>
          <w:tcPr>
            <w:tcW w:w="850" w:type="dxa"/>
          </w:tcPr>
          <w:p>
            <w:pPr>
              <w:pStyle w:val="0"/>
            </w:pPr>
            <w:r>
              <w:rPr>
                <w:sz w:val="20"/>
              </w:rPr>
              <w:t xml:space="preserve">единиц</w:t>
            </w:r>
          </w:p>
        </w:tc>
        <w:tc>
          <w:tcPr>
            <w:tcW w:w="1077" w:type="dxa"/>
          </w:tcPr>
          <w:p>
            <w:pPr>
              <w:pStyle w:val="0"/>
              <w:jc w:val="center"/>
            </w:pPr>
            <w:r>
              <w:rPr>
                <w:sz w:val="20"/>
              </w:rPr>
              <w:t xml:space="preserve">1</w:t>
            </w:r>
          </w:p>
        </w:tc>
        <w:tc>
          <w:tcPr>
            <w:tcW w:w="1077" w:type="dxa"/>
          </w:tcPr>
          <w:p>
            <w:pPr>
              <w:pStyle w:val="0"/>
              <w:jc w:val="center"/>
            </w:pPr>
            <w:r>
              <w:rPr>
                <w:sz w:val="20"/>
              </w:rPr>
              <w:t xml:space="preserve">-</w:t>
            </w:r>
          </w:p>
        </w:tc>
        <w:tc>
          <w:tcPr>
            <w:tcW w:w="1191" w:type="dxa"/>
          </w:tcPr>
          <w:p>
            <w:pPr>
              <w:pStyle w:val="0"/>
            </w:pPr>
            <w:r>
              <w:rPr>
                <w:sz w:val="20"/>
              </w:rPr>
              <w:t xml:space="preserve">1</w:t>
            </w:r>
          </w:p>
        </w:tc>
      </w:tr>
      <w:tr>
        <w:tc>
          <w:tcPr>
            <w:tcW w:w="566" w:type="dxa"/>
          </w:tcPr>
          <w:p>
            <w:pPr>
              <w:pStyle w:val="0"/>
              <w:jc w:val="center"/>
            </w:pPr>
            <w:r>
              <w:rPr>
                <w:sz w:val="20"/>
              </w:rPr>
              <w:t xml:space="preserve">58.</w:t>
            </w:r>
          </w:p>
        </w:tc>
        <w:tc>
          <w:tcPr>
            <w:tcW w:w="2494" w:type="dxa"/>
          </w:tcPr>
          <w:p>
            <w:pPr>
              <w:pStyle w:val="0"/>
            </w:pPr>
            <w:r>
              <w:rPr>
                <w:sz w:val="20"/>
              </w:rPr>
              <w:t xml:space="preserve">Капитальный ремонт гидротехнических сооружений</w:t>
            </w:r>
          </w:p>
        </w:tc>
        <w:tc>
          <w:tcPr>
            <w:tcW w:w="1927"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247" w:type="dxa"/>
          </w:tcPr>
          <w:p>
            <w:pPr>
              <w:pStyle w:val="0"/>
            </w:pPr>
            <w:r>
              <w:rPr>
                <w:sz w:val="20"/>
              </w:rPr>
              <w:t xml:space="preserve">Департамент природопользования и охраны окружающей среды Владимирской области</w:t>
            </w:r>
          </w:p>
        </w:tc>
        <w:tc>
          <w:tcPr>
            <w:tcW w:w="3118" w:type="dxa"/>
          </w:tcPr>
          <w:p>
            <w:pPr>
              <w:pStyle w:val="0"/>
            </w:pPr>
            <w:r>
              <w:rPr>
                <w:sz w:val="20"/>
              </w:rPr>
              <w:t xml:space="preserve">Количество ГТС с неудовлетворительным и опасным уровнем безопасности, приведенных в безопасное техническое состояние</w:t>
            </w:r>
          </w:p>
        </w:tc>
        <w:tc>
          <w:tcPr>
            <w:tcW w:w="850" w:type="dxa"/>
          </w:tcPr>
          <w:p>
            <w:pPr>
              <w:pStyle w:val="0"/>
            </w:pPr>
            <w:r>
              <w:rPr>
                <w:sz w:val="20"/>
              </w:rPr>
              <w:t xml:space="preserve">единиц</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191" w:type="dxa"/>
          </w:tcPr>
          <w:p>
            <w:pPr>
              <w:pStyle w:val="0"/>
            </w:pPr>
            <w:r>
              <w:rPr>
                <w:sz w:val="20"/>
              </w:rPr>
              <w:t xml:space="preserve">1</w:t>
            </w:r>
          </w:p>
        </w:tc>
      </w:tr>
      <w:tr>
        <w:tc>
          <w:tcPr>
            <w:tcW w:w="566" w:type="dxa"/>
            <w:vMerge w:val="restart"/>
          </w:tcPr>
          <w:p>
            <w:pPr>
              <w:pStyle w:val="0"/>
              <w:jc w:val="center"/>
            </w:pPr>
            <w:r>
              <w:rPr>
                <w:sz w:val="20"/>
              </w:rPr>
              <w:t xml:space="preserve">59.</w:t>
            </w:r>
          </w:p>
        </w:tc>
        <w:tc>
          <w:tcPr>
            <w:tcW w:w="2494" w:type="dxa"/>
            <w:vMerge w:val="restart"/>
          </w:tcPr>
          <w:p>
            <w:pPr>
              <w:pStyle w:val="0"/>
            </w:pPr>
            <w:r>
              <w:rPr>
                <w:sz w:val="20"/>
              </w:rPr>
              <w:t xml:space="preserve">Восстановление и экологическая реабилитация водных объектов</w:t>
            </w:r>
          </w:p>
        </w:tc>
        <w:tc>
          <w:tcPr>
            <w:tcW w:w="1927" w:type="dxa"/>
            <w:vMerge w:val="restart"/>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247" w:type="dxa"/>
            <w:vMerge w:val="restart"/>
          </w:tcPr>
          <w:p>
            <w:pPr>
              <w:pStyle w:val="0"/>
            </w:pPr>
            <w:r>
              <w:rPr>
                <w:sz w:val="20"/>
              </w:rPr>
              <w:t xml:space="preserve">Департамент природопользования и охраны окружающей среды Владимирской области</w:t>
            </w:r>
          </w:p>
        </w:tc>
        <w:tc>
          <w:tcPr>
            <w:tcW w:w="3118" w:type="dxa"/>
          </w:tcPr>
          <w:p>
            <w:pPr>
              <w:pStyle w:val="0"/>
            </w:pPr>
            <w:r>
              <w:rPr>
                <w:sz w:val="20"/>
              </w:rPr>
              <w:t xml:space="preserve">Площадь восстановленных водных объектов</w:t>
            </w:r>
          </w:p>
        </w:tc>
        <w:tc>
          <w:tcPr>
            <w:tcW w:w="850" w:type="dxa"/>
          </w:tcPr>
          <w:p>
            <w:pPr>
              <w:pStyle w:val="0"/>
            </w:pPr>
            <w:r>
              <w:rPr>
                <w:sz w:val="20"/>
              </w:rPr>
              <w:t xml:space="preserve">га</w:t>
            </w:r>
          </w:p>
        </w:tc>
        <w:tc>
          <w:tcPr>
            <w:tcW w:w="1077" w:type="dxa"/>
          </w:tcPr>
          <w:p>
            <w:pPr>
              <w:pStyle w:val="0"/>
              <w:jc w:val="center"/>
            </w:pPr>
            <w:r>
              <w:rPr>
                <w:sz w:val="20"/>
              </w:rPr>
              <w:t xml:space="preserve">-</w:t>
            </w:r>
          </w:p>
        </w:tc>
        <w:tc>
          <w:tcPr>
            <w:tcW w:w="1077" w:type="dxa"/>
          </w:tcPr>
          <w:p>
            <w:pPr>
              <w:pStyle w:val="0"/>
              <w:jc w:val="center"/>
            </w:pPr>
            <w:r>
              <w:rPr>
                <w:sz w:val="20"/>
              </w:rPr>
              <w:t xml:space="preserve">-</w:t>
            </w:r>
          </w:p>
        </w:tc>
        <w:tc>
          <w:tcPr>
            <w:tcW w:w="1191" w:type="dxa"/>
          </w:tcPr>
          <w:p>
            <w:pPr>
              <w:pStyle w:val="0"/>
            </w:pPr>
            <w:r>
              <w:rPr>
                <w:sz w:val="20"/>
              </w:rPr>
              <w:t xml:space="preserve">43,8</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Количество населения, улучшившего экологические условия проживания вблизи водных объектов</w:t>
            </w:r>
          </w:p>
        </w:tc>
        <w:tc>
          <w:tcPr>
            <w:tcW w:w="850" w:type="dxa"/>
          </w:tcPr>
          <w:p>
            <w:pPr>
              <w:pStyle w:val="0"/>
            </w:pPr>
            <w:r>
              <w:rPr>
                <w:sz w:val="20"/>
              </w:rPr>
              <w:t xml:space="preserve">тыс. чел.</w:t>
            </w:r>
          </w:p>
        </w:tc>
        <w:tc>
          <w:tcPr>
            <w:tcW w:w="1077" w:type="dxa"/>
          </w:tcPr>
          <w:p>
            <w:pPr>
              <w:pStyle w:val="0"/>
              <w:jc w:val="center"/>
            </w:pPr>
            <w:r>
              <w:rPr>
                <w:sz w:val="20"/>
              </w:rPr>
              <w:t xml:space="preserve">-</w:t>
            </w:r>
          </w:p>
        </w:tc>
        <w:tc>
          <w:tcPr>
            <w:tcW w:w="1077" w:type="dxa"/>
          </w:tcPr>
          <w:p>
            <w:pPr>
              <w:pStyle w:val="0"/>
              <w:jc w:val="center"/>
            </w:pPr>
            <w:r>
              <w:rPr>
                <w:sz w:val="20"/>
              </w:rPr>
              <w:t xml:space="preserve">-</w:t>
            </w:r>
          </w:p>
        </w:tc>
        <w:tc>
          <w:tcPr>
            <w:tcW w:w="1191" w:type="dxa"/>
          </w:tcPr>
          <w:p>
            <w:pPr>
              <w:pStyle w:val="0"/>
            </w:pPr>
            <w:r>
              <w:rPr>
                <w:sz w:val="20"/>
              </w:rPr>
              <w:t xml:space="preserve">8,1</w:t>
            </w:r>
          </w:p>
        </w:tc>
      </w:tr>
      <w:tr>
        <w:tc>
          <w:tcPr>
            <w:tcW w:w="566" w:type="dxa"/>
          </w:tcPr>
          <w:p>
            <w:pPr>
              <w:pStyle w:val="0"/>
              <w:jc w:val="center"/>
            </w:pPr>
            <w:r>
              <w:rPr>
                <w:sz w:val="20"/>
              </w:rPr>
              <w:t xml:space="preserve">60.</w:t>
            </w:r>
          </w:p>
        </w:tc>
        <w:tc>
          <w:tcPr>
            <w:tcW w:w="2494" w:type="dxa"/>
          </w:tcPr>
          <w:p>
            <w:pPr>
              <w:pStyle w:val="0"/>
            </w:pPr>
            <w:r>
              <w:rPr>
                <w:sz w:val="20"/>
              </w:rPr>
              <w:t xml:space="preserve">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1927"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247" w:type="dxa"/>
          </w:tcPr>
          <w:p>
            <w:pPr>
              <w:pStyle w:val="0"/>
            </w:pPr>
            <w:r>
              <w:rPr>
                <w:sz w:val="20"/>
              </w:rPr>
              <w:t xml:space="preserve">Департамент природопользования и охраны окружающей среды Владимирской области</w:t>
            </w:r>
          </w:p>
        </w:tc>
        <w:tc>
          <w:tcPr>
            <w:tcW w:w="3118" w:type="dxa"/>
          </w:tcPr>
          <w:p>
            <w:pPr>
              <w:pStyle w:val="0"/>
            </w:pPr>
            <w:r>
              <w:rPr>
                <w:sz w:val="20"/>
              </w:rPr>
              <w:t xml:space="preserve">Ликвидированы все выявленные на 1 января 2018 г. несанкционированные свалки в границах городов</w:t>
            </w:r>
          </w:p>
        </w:tc>
        <w:tc>
          <w:tcPr>
            <w:tcW w:w="850" w:type="dxa"/>
          </w:tcPr>
          <w:p>
            <w:pPr>
              <w:pStyle w:val="0"/>
            </w:pPr>
            <w:r>
              <w:rPr>
                <w:sz w:val="20"/>
              </w:rPr>
              <w:t xml:space="preserve">шт.</w:t>
            </w:r>
          </w:p>
        </w:tc>
        <w:tc>
          <w:tcPr>
            <w:tcW w:w="1077" w:type="dxa"/>
          </w:tcPr>
          <w:p>
            <w:pPr>
              <w:pStyle w:val="0"/>
              <w:jc w:val="center"/>
            </w:pPr>
            <w:r>
              <w:rPr>
                <w:sz w:val="20"/>
              </w:rPr>
              <w:t xml:space="preserve">3</w:t>
            </w:r>
          </w:p>
        </w:tc>
        <w:tc>
          <w:tcPr>
            <w:tcW w:w="1077" w:type="dxa"/>
          </w:tcPr>
          <w:p>
            <w:pPr>
              <w:pStyle w:val="0"/>
              <w:jc w:val="center"/>
            </w:pPr>
            <w:r>
              <w:rPr>
                <w:sz w:val="20"/>
              </w:rPr>
              <w:t xml:space="preserve">4</w:t>
            </w:r>
          </w:p>
        </w:tc>
        <w:tc>
          <w:tcPr>
            <w:tcW w:w="1191" w:type="dxa"/>
          </w:tcPr>
          <w:p>
            <w:pPr>
              <w:pStyle w:val="0"/>
            </w:pPr>
            <w:r>
              <w:rPr>
                <w:sz w:val="20"/>
              </w:rPr>
              <w:t xml:space="preserve">4</w:t>
            </w:r>
          </w:p>
        </w:tc>
      </w:tr>
      <w:tr>
        <w:tc>
          <w:tcPr>
            <w:tcW w:w="566" w:type="dxa"/>
          </w:tcPr>
          <w:p>
            <w:pPr>
              <w:pStyle w:val="0"/>
              <w:jc w:val="center"/>
            </w:pPr>
            <w:r>
              <w:rPr>
                <w:sz w:val="20"/>
              </w:rPr>
              <w:t xml:space="preserve">61.</w:t>
            </w:r>
          </w:p>
        </w:tc>
        <w:tc>
          <w:tcPr>
            <w:tcW w:w="2494" w:type="dxa"/>
          </w:tcPr>
          <w:p>
            <w:pPr>
              <w:pStyle w:val="0"/>
            </w:pPr>
            <w:r>
              <w:rPr>
                <w:sz w:val="20"/>
              </w:rPr>
              <w:t xml:space="preserve">Организация и проведение культурно-массовых мероприятий</w:t>
            </w:r>
          </w:p>
        </w:tc>
        <w:tc>
          <w:tcPr>
            <w:tcW w:w="1927"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247" w:type="dxa"/>
          </w:tcPr>
          <w:p>
            <w:pPr>
              <w:pStyle w:val="0"/>
            </w:pPr>
            <w:r>
              <w:rPr>
                <w:sz w:val="20"/>
              </w:rPr>
              <w:t xml:space="preserve">Администрация Владимирской области (Комитет по социальной политике администрации области)</w:t>
            </w:r>
          </w:p>
        </w:tc>
        <w:tc>
          <w:tcPr>
            <w:tcW w:w="3118" w:type="dxa"/>
          </w:tcPr>
          <w:p>
            <w:pPr>
              <w:pStyle w:val="0"/>
            </w:pPr>
            <w:r>
              <w:rPr>
                <w:sz w:val="20"/>
              </w:rPr>
              <w:t xml:space="preserve">Отсутствие кредиторской задолженности муниципального образования по расходам, осуществляемым за счет иного межбюджетного трансферта из областного бюджета</w:t>
            </w:r>
          </w:p>
        </w:tc>
        <w:tc>
          <w:tcPr>
            <w:tcW w:w="850"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191" w:type="dxa"/>
          </w:tcPr>
          <w:p>
            <w:pPr>
              <w:pStyle w:val="0"/>
            </w:pPr>
            <w:r>
              <w:rPr>
                <w:sz w:val="20"/>
              </w:rPr>
              <w:t xml:space="preserve">100</w:t>
            </w:r>
          </w:p>
        </w:tc>
      </w:tr>
      <w:tr>
        <w:tc>
          <w:tcPr>
            <w:tcW w:w="566" w:type="dxa"/>
            <w:vMerge w:val="restart"/>
          </w:tcPr>
          <w:p>
            <w:pPr>
              <w:pStyle w:val="0"/>
              <w:jc w:val="center"/>
            </w:pPr>
            <w:r>
              <w:rPr>
                <w:sz w:val="20"/>
              </w:rPr>
              <w:t xml:space="preserve">62.</w:t>
            </w:r>
          </w:p>
        </w:tc>
        <w:tc>
          <w:tcPr>
            <w:tcW w:w="2494" w:type="dxa"/>
            <w:vMerge w:val="restart"/>
          </w:tcPr>
          <w:p>
            <w:pPr>
              <w:pStyle w:val="0"/>
            </w:pPr>
            <w:r>
              <w:rPr>
                <w:sz w:val="20"/>
              </w:rPr>
              <w:t xml:space="preserve">Обеспечение предоставления государственных и муниципальных услуг по принципу "одного окна"</w:t>
            </w:r>
          </w:p>
        </w:tc>
        <w:tc>
          <w:tcPr>
            <w:tcW w:w="1927" w:type="dxa"/>
            <w:vMerge w:val="restart"/>
          </w:tcPr>
          <w:p>
            <w:pPr>
              <w:pStyle w:val="0"/>
            </w:pPr>
            <w:r>
              <w:rPr>
                <w:sz w:val="20"/>
              </w:rP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 на 2014 - 2021 годы"</w:t>
            </w:r>
          </w:p>
        </w:tc>
        <w:tc>
          <w:tcPr>
            <w:tcW w:w="1247" w:type="dxa"/>
            <w:vMerge w:val="restart"/>
          </w:tcPr>
          <w:p>
            <w:pPr>
              <w:pStyle w:val="0"/>
            </w:pPr>
            <w:r>
              <w:rPr>
                <w:sz w:val="20"/>
              </w:rPr>
              <w:t xml:space="preserve">Администрация Владимирской области</w:t>
            </w:r>
          </w:p>
        </w:tc>
        <w:tc>
          <w:tcPr>
            <w:tcW w:w="3118" w:type="dxa"/>
          </w:tcPr>
          <w:p>
            <w:pPr>
              <w:pStyle w:val="0"/>
            </w:pPr>
            <w:r>
              <w:rPr>
                <w:sz w:val="20"/>
              </w:rPr>
              <w:t xml:space="preserve">Соответствие фактически предоставляемых государственных и муниципальных услуг перечням государственных и муниципальных услуг</w:t>
            </w:r>
          </w:p>
        </w:tc>
        <w:tc>
          <w:tcPr>
            <w:tcW w:w="850"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191" w:type="dxa"/>
          </w:tcPr>
          <w:p>
            <w:pPr>
              <w:pStyle w:val="0"/>
            </w:pPr>
            <w:r>
              <w:rPr>
                <w:sz w:val="20"/>
              </w:rPr>
              <w:t xml:space="preserve">100</w:t>
            </w:r>
          </w:p>
        </w:tc>
      </w:tr>
      <w:tr>
        <w:tc>
          <w:tcPr>
            <w:vMerge w:val="continue"/>
          </w:tcPr>
          <w:p/>
        </w:tc>
        <w:tc>
          <w:tcPr>
            <w:vMerge w:val="continue"/>
          </w:tcPr>
          <w:p/>
        </w:tc>
        <w:tc>
          <w:tcPr>
            <w:vMerge w:val="continue"/>
          </w:tcPr>
          <w:p/>
        </w:tc>
        <w:tc>
          <w:tcPr>
            <w:vMerge w:val="continue"/>
          </w:tcPr>
          <w:p/>
        </w:tc>
        <w:tc>
          <w:tcPr>
            <w:tcW w:w="3118" w:type="dxa"/>
          </w:tcPr>
          <w:p>
            <w:pPr>
              <w:pStyle w:val="0"/>
            </w:pPr>
            <w:r>
              <w:rPr>
                <w:sz w:val="20"/>
              </w:rPr>
              <w:t xml:space="preserve">Соответствие количества работающих окон обслуживания МФЦ и окон обслуживания ТОСП МФЦ действующей схеме размещения МФЦ</w:t>
            </w:r>
          </w:p>
        </w:tc>
        <w:tc>
          <w:tcPr>
            <w:tcW w:w="850"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191" w:type="dxa"/>
          </w:tcPr>
          <w:p>
            <w:pPr>
              <w:pStyle w:val="0"/>
            </w:pPr>
            <w:r>
              <w:rPr>
                <w:sz w:val="20"/>
              </w:rPr>
              <w:t xml:space="preserve">100</w:t>
            </w:r>
          </w:p>
        </w:tc>
      </w:tr>
      <w:tr>
        <w:tc>
          <w:tcPr>
            <w:tcW w:w="566" w:type="dxa"/>
          </w:tcPr>
          <w:p>
            <w:pPr>
              <w:pStyle w:val="0"/>
              <w:jc w:val="center"/>
            </w:pPr>
            <w:r>
              <w:rPr>
                <w:sz w:val="20"/>
              </w:rPr>
              <w:t xml:space="preserve">63.</w:t>
            </w:r>
          </w:p>
        </w:tc>
        <w:tc>
          <w:tcPr>
            <w:tcW w:w="2494" w:type="dxa"/>
          </w:tcPr>
          <w:p>
            <w:pPr>
              <w:pStyle w:val="0"/>
            </w:pPr>
            <w:r>
              <w:rPr>
                <w:sz w:val="20"/>
              </w:rPr>
              <w:t xml:space="preserve">Мероприятия по предупреждению терроризма и экстремизма в сфере спорта</w:t>
            </w:r>
          </w:p>
        </w:tc>
        <w:tc>
          <w:tcPr>
            <w:tcW w:w="1927"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247" w:type="dxa"/>
          </w:tcPr>
          <w:p>
            <w:pPr>
              <w:pStyle w:val="0"/>
            </w:pPr>
            <w:r>
              <w:rPr>
                <w:sz w:val="20"/>
              </w:rPr>
              <w:t xml:space="preserve">Администрация Владимирской области (Комитет по молодежной политике администрации области)</w:t>
            </w:r>
          </w:p>
        </w:tc>
        <w:tc>
          <w:tcPr>
            <w:tcW w:w="3118" w:type="dxa"/>
          </w:tcPr>
          <w:p>
            <w:pPr>
              <w:pStyle w:val="0"/>
            </w:pPr>
            <w:r>
              <w:rPr>
                <w:sz w:val="20"/>
              </w:rPr>
              <w:t xml:space="preserve">Наличие в муниципальном образовании специализированных спортивных площадок для занятия уличными (экстремальными) видами спорта</w:t>
            </w:r>
          </w:p>
        </w:tc>
        <w:tc>
          <w:tcPr>
            <w:tcW w:w="850" w:type="dxa"/>
          </w:tcPr>
          <w:p>
            <w:pPr>
              <w:pStyle w:val="0"/>
            </w:pPr>
            <w:r>
              <w:rPr>
                <w:sz w:val="20"/>
              </w:rPr>
              <w:t xml:space="preserve">единица</w:t>
            </w:r>
          </w:p>
        </w:tc>
        <w:tc>
          <w:tcPr>
            <w:tcW w:w="1077" w:type="dxa"/>
          </w:tcPr>
          <w:p>
            <w:pPr>
              <w:pStyle w:val="0"/>
              <w:jc w:val="center"/>
            </w:pPr>
            <w:r>
              <w:rPr>
                <w:sz w:val="20"/>
              </w:rPr>
              <w:t xml:space="preserve">1</w:t>
            </w:r>
          </w:p>
        </w:tc>
        <w:tc>
          <w:tcPr>
            <w:tcW w:w="1077" w:type="dxa"/>
          </w:tcPr>
          <w:p>
            <w:pPr>
              <w:pStyle w:val="0"/>
              <w:jc w:val="center"/>
            </w:pPr>
            <w:r>
              <w:rPr>
                <w:sz w:val="20"/>
              </w:rPr>
              <w:t xml:space="preserve">-</w:t>
            </w:r>
          </w:p>
        </w:tc>
        <w:tc>
          <w:tcPr>
            <w:tcW w:w="1191" w:type="dxa"/>
          </w:tcPr>
          <w:p>
            <w:pPr>
              <w:pStyle w:val="0"/>
            </w:pPr>
            <w:r>
              <w:rPr>
                <w:sz w:val="20"/>
              </w:rPr>
              <w:t xml:space="preserve">-</w:t>
            </w:r>
          </w:p>
        </w:tc>
      </w:tr>
      <w:tr>
        <w:tc>
          <w:tcPr>
            <w:tcW w:w="566" w:type="dxa"/>
          </w:tcPr>
          <w:p>
            <w:pPr>
              <w:pStyle w:val="0"/>
              <w:jc w:val="center"/>
            </w:pPr>
            <w:r>
              <w:rPr>
                <w:sz w:val="20"/>
              </w:rPr>
              <w:t xml:space="preserve">64.</w:t>
            </w:r>
          </w:p>
        </w:tc>
        <w:tc>
          <w:tcPr>
            <w:tcW w:w="2494" w:type="dxa"/>
          </w:tcPr>
          <w:p>
            <w:pPr>
              <w:pStyle w:val="0"/>
            </w:pPr>
            <w:r>
              <w:rPr>
                <w:sz w:val="20"/>
              </w:rPr>
              <w:t xml:space="preserve">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927"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247" w:type="dxa"/>
          </w:tcPr>
          <w:p>
            <w:pPr>
              <w:pStyle w:val="0"/>
            </w:pPr>
            <w:r>
              <w:rPr>
                <w:sz w:val="20"/>
              </w:rPr>
              <w:t xml:space="preserve">Администрация Владимирской области (Комитет по молодежной политике администрации области)</w:t>
            </w:r>
          </w:p>
        </w:tc>
        <w:tc>
          <w:tcPr>
            <w:tcW w:w="3118" w:type="dxa"/>
          </w:tcPr>
          <w:p>
            <w:pPr>
              <w:pStyle w:val="0"/>
            </w:pPr>
            <w:r>
              <w:rPr>
                <w:sz w:val="20"/>
              </w:rPr>
              <w:t xml:space="preserve">Повышение материальной оснащенности учреждения сферы молодежной политики</w:t>
            </w:r>
          </w:p>
        </w:tc>
        <w:tc>
          <w:tcPr>
            <w:tcW w:w="850" w:type="dxa"/>
          </w:tcPr>
          <w:p>
            <w:pPr>
              <w:pStyle w:val="0"/>
            </w:pPr>
            <w:r>
              <w:rPr>
                <w:sz w:val="20"/>
              </w:rPr>
              <w:t xml:space="preserve">%</w:t>
            </w:r>
          </w:p>
        </w:tc>
        <w:tc>
          <w:tcPr>
            <w:tcW w:w="1077" w:type="dxa"/>
          </w:tcPr>
          <w:p>
            <w:pPr>
              <w:pStyle w:val="0"/>
              <w:jc w:val="center"/>
            </w:pPr>
            <w:r>
              <w:rPr>
                <w:sz w:val="20"/>
              </w:rPr>
              <w:t xml:space="preserve">0,5 - 30</w:t>
            </w:r>
          </w:p>
        </w:tc>
        <w:tc>
          <w:tcPr>
            <w:tcW w:w="1077" w:type="dxa"/>
          </w:tcPr>
          <w:p>
            <w:pPr>
              <w:pStyle w:val="0"/>
              <w:jc w:val="center"/>
            </w:pPr>
            <w:r>
              <w:rPr>
                <w:sz w:val="20"/>
              </w:rPr>
              <w:t xml:space="preserve">0,5 - 30</w:t>
            </w:r>
          </w:p>
        </w:tc>
        <w:tc>
          <w:tcPr>
            <w:tcW w:w="1191" w:type="dxa"/>
          </w:tcPr>
          <w:p>
            <w:pPr>
              <w:pStyle w:val="0"/>
            </w:pPr>
            <w:r>
              <w:rPr>
                <w:sz w:val="20"/>
              </w:rPr>
              <w:t xml:space="preserve">0,5 - 30</w:t>
            </w:r>
          </w:p>
        </w:tc>
      </w:tr>
      <w:tr>
        <w:tc>
          <w:tcPr>
            <w:tcW w:w="566" w:type="dxa"/>
          </w:tcPr>
          <w:p>
            <w:pPr>
              <w:pStyle w:val="0"/>
              <w:jc w:val="center"/>
            </w:pPr>
            <w:r>
              <w:rPr>
                <w:sz w:val="20"/>
              </w:rPr>
              <w:t xml:space="preserve">65.</w:t>
            </w:r>
          </w:p>
        </w:tc>
        <w:tc>
          <w:tcPr>
            <w:tcW w:w="2494" w:type="dxa"/>
          </w:tcPr>
          <w:p>
            <w:pPr>
              <w:pStyle w:val="0"/>
            </w:pPr>
            <w:r>
              <w:rPr>
                <w:sz w:val="20"/>
              </w:rPr>
              <w:t xml:space="preserve">Мероприятия, связанные с присвоением г. Коврову почетного звания РФ "Город воинской славы" и увековечением памяти погибших при защите Отечества</w:t>
            </w:r>
          </w:p>
        </w:tc>
        <w:tc>
          <w:tcPr>
            <w:tcW w:w="1927"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247" w:type="dxa"/>
          </w:tcPr>
          <w:p>
            <w:pPr>
              <w:pStyle w:val="0"/>
            </w:pPr>
            <w:r>
              <w:rPr>
                <w:sz w:val="20"/>
              </w:rPr>
              <w:t xml:space="preserve">Администрация Владимирской области (Комитет внутренней политики администрации области)</w:t>
            </w:r>
          </w:p>
        </w:tc>
        <w:tc>
          <w:tcPr>
            <w:tcW w:w="3118" w:type="dxa"/>
          </w:tcPr>
          <w:p>
            <w:pPr>
              <w:pStyle w:val="0"/>
            </w:pPr>
            <w:r>
              <w:rPr>
                <w:sz w:val="20"/>
              </w:rPr>
              <w:t xml:space="preserve">Выполнение плана мероприятий, связанных с присвоением почетного звания Российской Федерации "Город воинской славы" и увековечением памяти погибших при защите Отечества</w:t>
            </w:r>
          </w:p>
        </w:tc>
        <w:tc>
          <w:tcPr>
            <w:tcW w:w="850" w:type="dxa"/>
          </w:tcPr>
          <w:p>
            <w:pPr>
              <w:pStyle w:val="0"/>
            </w:pPr>
            <w:r>
              <w:rPr>
                <w:sz w:val="20"/>
              </w:rPr>
              <w:t xml:space="preserve">%</w:t>
            </w:r>
          </w:p>
        </w:tc>
        <w:tc>
          <w:tcPr>
            <w:tcW w:w="1077" w:type="dxa"/>
          </w:tcPr>
          <w:p>
            <w:pPr>
              <w:pStyle w:val="0"/>
              <w:jc w:val="center"/>
            </w:pPr>
            <w:r>
              <w:rPr>
                <w:sz w:val="20"/>
              </w:rPr>
              <w:t xml:space="preserve">95</w:t>
            </w:r>
          </w:p>
        </w:tc>
        <w:tc>
          <w:tcPr>
            <w:tcW w:w="1077" w:type="dxa"/>
          </w:tcPr>
          <w:p>
            <w:pPr>
              <w:pStyle w:val="0"/>
              <w:jc w:val="center"/>
            </w:pPr>
            <w:r>
              <w:rPr>
                <w:sz w:val="20"/>
              </w:rPr>
              <w:t xml:space="preserve">95</w:t>
            </w:r>
          </w:p>
        </w:tc>
        <w:tc>
          <w:tcPr>
            <w:tcW w:w="1191" w:type="dxa"/>
          </w:tcPr>
          <w:p>
            <w:pPr>
              <w:pStyle w:val="0"/>
            </w:pPr>
            <w:r>
              <w:rPr>
                <w:sz w:val="20"/>
              </w:rPr>
              <w:t xml:space="preserve">95</w:t>
            </w:r>
          </w:p>
        </w:tc>
      </w:tr>
      <w:tr>
        <w:tc>
          <w:tcPr>
            <w:tcW w:w="566" w:type="dxa"/>
          </w:tcPr>
          <w:p>
            <w:pPr>
              <w:pStyle w:val="0"/>
              <w:jc w:val="center"/>
            </w:pPr>
            <w:r>
              <w:rPr>
                <w:sz w:val="20"/>
              </w:rPr>
              <w:t xml:space="preserve">66.</w:t>
            </w:r>
          </w:p>
        </w:tc>
        <w:tc>
          <w:tcPr>
            <w:tcW w:w="2494" w:type="dxa"/>
          </w:tcPr>
          <w:p>
            <w:pPr>
              <w:pStyle w:val="0"/>
            </w:pPr>
            <w:r>
              <w:rPr>
                <w:sz w:val="20"/>
              </w:rPr>
              <w:t xml:space="preserve">Государственная поддержка малого и среднего предпринимательства в субъектах Российской Федерации -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в монопрофильных муниципальных образованиях</w:t>
            </w:r>
          </w:p>
        </w:tc>
        <w:tc>
          <w:tcPr>
            <w:tcW w:w="1927"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247" w:type="dxa"/>
          </w:tcPr>
          <w:p>
            <w:pPr>
              <w:pStyle w:val="0"/>
            </w:pPr>
            <w:r>
              <w:rPr>
                <w:sz w:val="20"/>
              </w:rPr>
              <w:t xml:space="preserve">Департамент развития предпринимательства, торговли и сферы услуг администрации области</w:t>
            </w:r>
          </w:p>
        </w:tc>
        <w:tc>
          <w:tcPr>
            <w:tcW w:w="3118" w:type="dxa"/>
          </w:tcPr>
          <w:p>
            <w:pPr>
              <w:pStyle w:val="0"/>
            </w:pPr>
            <w:r>
              <w:rPr>
                <w:sz w:val="20"/>
              </w:rPr>
              <w:t xml:space="preserve">Разработана программа поддержки субъектов МСП в моногородах. Количество субъектов малого и среднего предпринимательства, получивших государственную поддержку</w:t>
            </w:r>
          </w:p>
        </w:tc>
        <w:tc>
          <w:tcPr>
            <w:tcW w:w="850" w:type="dxa"/>
          </w:tcPr>
          <w:p>
            <w:pPr>
              <w:pStyle w:val="0"/>
            </w:pPr>
            <w:r>
              <w:rPr>
                <w:sz w:val="20"/>
              </w:rPr>
              <w:t xml:space="preserve">ед.</w:t>
            </w:r>
          </w:p>
        </w:tc>
        <w:tc>
          <w:tcPr>
            <w:tcW w:w="1077" w:type="dxa"/>
          </w:tcPr>
          <w:p>
            <w:pPr>
              <w:pStyle w:val="0"/>
              <w:jc w:val="center"/>
            </w:pPr>
            <w:r>
              <w:rPr>
                <w:sz w:val="20"/>
              </w:rPr>
              <w:t xml:space="preserve">9</w:t>
            </w:r>
          </w:p>
        </w:tc>
        <w:tc>
          <w:tcPr>
            <w:tcW w:w="1077" w:type="dxa"/>
          </w:tcPr>
          <w:p>
            <w:pPr>
              <w:pStyle w:val="0"/>
              <w:jc w:val="center"/>
            </w:pPr>
            <w:r>
              <w:rPr>
                <w:sz w:val="20"/>
              </w:rPr>
              <w:t xml:space="preserve">6</w:t>
            </w:r>
          </w:p>
        </w:tc>
        <w:tc>
          <w:tcPr>
            <w:tcW w:w="1191" w:type="dxa"/>
          </w:tcPr>
          <w:p>
            <w:pPr>
              <w:pStyle w:val="0"/>
            </w:pPr>
            <w:r>
              <w:rPr>
                <w:sz w:val="20"/>
              </w:rPr>
              <w:t xml:space="preserve">6</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45"/>
      <w:headerReference w:type="first" r:id="rId45"/>
      <w:footerReference w:type="default" r:id="rId46"/>
      <w:footerReference w:type="first" r:id="rId46"/>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администрации Владимирской обл. от 07.07.2020 N 523-р</w:t>
            <w:br/>
            <w:t>(ред. от 17.08.2020)</w:t>
            <w:br/>
            <w:t>"Об утверждении исходных данных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Распоряжение администрации Владимирской обл. от 07.07.2020 N 523-р</w:t>
            <w:br/>
            <w:t>(ред. от 17.08.2020)</w:t>
            <w:br/>
            <w:t>"Об утверждении исходных данных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5E0DD34B9CFF8045157F60F8B719B59457B8FF4FE7FC770DFC46530C3F9FA4F230795220DC8D9B59E748750351CC1215AFAFD5879EEF6D6B7D81B1FFz9DBP" TargetMode = "External"/>
	<Relationship Id="rId8" Type="http://schemas.openxmlformats.org/officeDocument/2006/relationships/hyperlink" Target="consultantplus://offline/ref=5E0DD34B9CFF8045157F60F8B719B59457B8FF4FE7FE7B0DF34F530C3F9FA4F230795220DC8D9B59E748720055CC1215AFAFD5879EEF6D6B7D81B1FFz9DBP" TargetMode = "External"/>
	<Relationship Id="rId9" Type="http://schemas.openxmlformats.org/officeDocument/2006/relationships/hyperlink" Target="consultantplus://offline/ref=5E0DD34B9CFF8045157F60F8B719B59457B8FF4FE7FF7A04FB46530C3F9FA4F230795220DC8D9B59E748750452CC1215AFAFD5879EEF6D6B7D81B1FFz9DBP" TargetMode = "External"/>
	<Relationship Id="rId10" Type="http://schemas.openxmlformats.org/officeDocument/2006/relationships/hyperlink" Target="consultantplus://offline/ref=5E0DD34B9CFF8045157F7EF5A175EB9E51B1A343E7FA7553A71A555B60CFA2A7703954759FCA935DEF43215210924B44E2E4D88689F36D68z6D0P" TargetMode = "External"/>
	<Relationship Id="rId11" Type="http://schemas.openxmlformats.org/officeDocument/2006/relationships/hyperlink" Target="consultantplus://offline/ref=5E0DD34B9CFF8045157F7EF5A175EB9E56B6A942E4FE7553A71A555B60CFA2A762390C799FC08858E656770356zCD4P" TargetMode = "External"/>
	<Relationship Id="rId12" Type="http://schemas.openxmlformats.org/officeDocument/2006/relationships/hyperlink" Target="consultantplus://offline/ref=5E0DD34B9CFF8045157F60F8B719B59457B8FF4FE7FE7B0DF34F530C3F9FA4F230795220DC8D9B59E7487D0551CC1215AFAFD5879EEF6D6B7D81B1FFz9DBP" TargetMode = "External"/>
	<Relationship Id="rId13" Type="http://schemas.openxmlformats.org/officeDocument/2006/relationships/hyperlink" Target="consultantplus://offline/ref=5E0DD34B9CFF8045157F7EF5A175EB9E51B1A343E7FA7553A71A555B60CFA2A762390C799FC08858E656770356zCD4P" TargetMode = "External"/>
	<Relationship Id="rId14" Type="http://schemas.openxmlformats.org/officeDocument/2006/relationships/hyperlink" Target="consultantplus://offline/ref=5E0DD34B9CFF8045157F60F8B719B59457B8FF4FE7FE7C06FF4B530C3F9FA4F230795220DC8D9B59E748750252CC1215AFAFD5879EEF6D6B7D81B1FFz9DBP" TargetMode = "External"/>
	<Relationship Id="rId15" Type="http://schemas.openxmlformats.org/officeDocument/2006/relationships/hyperlink" Target="consultantplus://offline/ref=5E0DD34B9CFF8045157F60F8B719B59457B8FF4FE7FC7C04F846530C3F9FA4F230795220DC8D9B59E748750250CC1215AFAFD5879EEF6D6B7D81B1FFz9DBP" TargetMode = "External"/>
	<Relationship Id="rId16" Type="http://schemas.openxmlformats.org/officeDocument/2006/relationships/hyperlink" Target="consultantplus://offline/ref=5E0DD34B9CFF8045157F7EF5A175EB9E56B5A644EEFB7553A71A555B60CFA2A762390C799FC08858E656770356zCD4P" TargetMode = "External"/>
	<Relationship Id="rId17" Type="http://schemas.openxmlformats.org/officeDocument/2006/relationships/hyperlink" Target="consultantplus://offline/ref=5E0DD34B9CFF8045157F7EF5A175EB9E56B6A646E3FF7553A71A555B60CFA2A762390C799FC08858E656770356zCD4P" TargetMode = "External"/>
	<Relationship Id="rId18" Type="http://schemas.openxmlformats.org/officeDocument/2006/relationships/hyperlink" Target="consultantplus://offline/ref=5E0DD34B9CFF8045157F60F8B719B59457B8FF4FE7FC7700FD4B530C3F9FA4F230795220CE8DC355E7416B0355D94444E9zFD9P" TargetMode = "External"/>
	<Relationship Id="rId19" Type="http://schemas.openxmlformats.org/officeDocument/2006/relationships/hyperlink" Target="consultantplus://offline/ref=5E0DD34B9CFF8045157F7EF5A175EB9E56B5A644EEFB7553A71A555B60CFA2A762390C799FC08858E656770356zCD4P" TargetMode = "External"/>
	<Relationship Id="rId20" Type="http://schemas.openxmlformats.org/officeDocument/2006/relationships/hyperlink" Target="consultantplus://offline/ref=5E0DD34B9CFF8045157F7EF5A175EB9E56B7A840E7FF7553A71A555B60CFA2A762390C799FC08858E656770356zCD4P" TargetMode = "External"/>
	<Relationship Id="rId21" Type="http://schemas.openxmlformats.org/officeDocument/2006/relationships/hyperlink" Target="consultantplus://offline/ref=5E0DD34B9CFF8045157F7EF5A175EB9E51B2A141E1FA7553A71A555B60CFA2A762390C799FC08858E656770356zCD4P" TargetMode = "External"/>
	<Relationship Id="rId22" Type="http://schemas.openxmlformats.org/officeDocument/2006/relationships/hyperlink" Target="consultantplus://offline/ref=5E0DD34B9CFF8045157F7EF5A175EB9E56B6A241E2FD7553A71A555B60CFA2A762390C799FC08858E656770356zCD4P" TargetMode = "External"/>
	<Relationship Id="rId23" Type="http://schemas.openxmlformats.org/officeDocument/2006/relationships/hyperlink" Target="consultantplus://offline/ref=5E0DD34B9CFF8045157F60F8B719B59457B8FF4FE7FC7903F84D530C3F9FA4F230795220CE8DC355E7416B0355D94444E9zFD9P" TargetMode = "External"/>
	<Relationship Id="rId24" Type="http://schemas.openxmlformats.org/officeDocument/2006/relationships/hyperlink" Target="consultantplus://offline/ref=5E0DD34B9CFF8045157F60F8B719B59457B8FF4FE7FE7B0DF246530C3F9FA4F230795220CE8DC355E7416B0355D94444E9zFD9P" TargetMode = "External"/>
	<Relationship Id="rId25" Type="http://schemas.openxmlformats.org/officeDocument/2006/relationships/hyperlink" Target="consultantplus://offline/ref=5E0DD34B9CFF8045157F60F8B719B59457B8FF4FE7FB7B07FF4F530C3F9FA4F230795220CE8DC355E7416B0355D94444E9zFD9P" TargetMode = "External"/>
	<Relationship Id="rId26" Type="http://schemas.openxmlformats.org/officeDocument/2006/relationships/hyperlink" Target="consultantplus://offline/ref=5E0DD34B9CFF8045157F60F8B719B59457B8FF4FE7FF7A06F94D530C3F9FA4F230795220CE8DC355E7416B0355D94444E9zFD9P" TargetMode = "External"/>
	<Relationship Id="rId27" Type="http://schemas.openxmlformats.org/officeDocument/2006/relationships/hyperlink" Target="consultantplus://offline/ref=5E0DD34B9CFF8045157F60F8B719B59457B8FF4FE7FC7E02FB4E530C3F9FA4F230795220CE8DC355E7416B0355D94444E9zFD9P" TargetMode = "External"/>
	<Relationship Id="rId28" Type="http://schemas.openxmlformats.org/officeDocument/2006/relationships/hyperlink" Target="consultantplus://offline/ref=5E0DD34B9CFF8045157F60F8B719B59457B8FF4FE7FC7E02FB4E530C3F9FA4F230795220CE8DC355E7416B0355D94444E9zFD9P" TargetMode = "External"/>
	<Relationship Id="rId29" Type="http://schemas.openxmlformats.org/officeDocument/2006/relationships/hyperlink" Target="consultantplus://offline/ref=5E0DD34B9CFF8045157F60F8B719B59457B8FF4FE7FF7A06F94D530C3F9FA4F230795220CE8DC355E7416B0355D94444E9zFD9P" TargetMode = "External"/>
	<Relationship Id="rId30" Type="http://schemas.openxmlformats.org/officeDocument/2006/relationships/hyperlink" Target="consultantplus://offline/ref=5E0DD34B9CFF8045157F60F8B719B59457B8FF4FE7FB7B07F84D530C3F9FA4F230795220CE8DC355E7416B0355D94444E9zFD9P" TargetMode = "External"/>
	<Relationship Id="rId31" Type="http://schemas.openxmlformats.org/officeDocument/2006/relationships/hyperlink" Target="consultantplus://offline/ref=5E0DD34B9CFF8045157F60F8B719B59457B8FF4FE7FC7E00FA46530C3F9FA4F230795220CE8DC355E7416B0355D94444E9zFD9P" TargetMode = "External"/>
	<Relationship Id="rId32" Type="http://schemas.openxmlformats.org/officeDocument/2006/relationships/hyperlink" Target="consultantplus://offline/ref=5E0DD34B9CFF8045157F60F8B719B59457B8FF4FE7FE7F0CF34F530C3F9FA4F230795220CE8DC355E7416B0355D94444E9zFD9P" TargetMode = "External"/>
	<Relationship Id="rId33" Type="http://schemas.openxmlformats.org/officeDocument/2006/relationships/hyperlink" Target="consultantplus://offline/ref=5E0DD34B9CFF8045157F60F8B719B59457B8FF4FE7FE7F0CF34F530C3F9FA4F230795220CE8DC355E7416B0355D94444E9zFD9P" TargetMode = "External"/>
	<Relationship Id="rId34" Type="http://schemas.openxmlformats.org/officeDocument/2006/relationships/hyperlink" Target="consultantplus://offline/ref=5E0DD34B9CFF8045157F7EF5A175EB9E51B1A343E7FA7553A71A555B60CFA2A77039547098CF9053B319315659C74F5AEBFBC68597F3z6DEP" TargetMode = "External"/>
	<Relationship Id="rId35" Type="http://schemas.openxmlformats.org/officeDocument/2006/relationships/hyperlink" Target="consultantplus://offline/ref=5E0DD34B9CFF8045157F7EF5A175EB9E51B3A843E3FD7553A71A555B60CFA2A762390C799FC08858E656770356zCD4P" TargetMode = "External"/>
	<Relationship Id="rId36" Type="http://schemas.openxmlformats.org/officeDocument/2006/relationships/hyperlink" Target="consultantplus://offline/ref=5E0DD34B9CFF8045157F60F8B719B59457B8FF4FE7FB7907F24F530C3F9FA4F230795220CE8DC355E7416B0355D94444E9zFD9P" TargetMode = "External"/>
	<Relationship Id="rId37" Type="http://schemas.openxmlformats.org/officeDocument/2006/relationships/hyperlink" Target="consultantplus://offline/ref=5E0DD34B9CFF8045157F60F8B719B59457B8FF4FE7FB7907F24F530C3F9FA4F230795220DC8D9B59E748750254CC1215AFAFD5879EEF6D6B7D81B1FFz9DBP" TargetMode = "External"/>
	<Relationship Id="rId38" Type="http://schemas.openxmlformats.org/officeDocument/2006/relationships/hyperlink" Target="consultantplus://offline/ref=5E0DD34B9CFF8045157F7EF5A175EB9E51B2A844E3FB7553A71A555B60CFA2A7703954759FC99658EE43215210924B44E2E4D88689F36D68z6D0P" TargetMode = "External"/>
	<Relationship Id="rId39" Type="http://schemas.openxmlformats.org/officeDocument/2006/relationships/hyperlink" Target="consultantplus://offline/ref=5E0DD34B9CFF8045157F60F8B719B59457B8FF4FE7FF7A06F94B530C3F9FA4F230795220CE8DC355E7416B0355D94444E9zFD9P" TargetMode = "External"/>
	<Relationship Id="rId40" Type="http://schemas.openxmlformats.org/officeDocument/2006/relationships/hyperlink" Target="consultantplus://offline/ref=5E0DD34B9CFF8045157F60F8B719B59457B8FF4FE7FC7904FD4E530C3F9FA4F230795220CE8DC355E7416B0355D94444E9zFD9P" TargetMode = "External"/>
	<Relationship Id="rId41" Type="http://schemas.openxmlformats.org/officeDocument/2006/relationships/hyperlink" Target="consultantplus://offline/ref=5E0DD34B9CFF8045157F7EF5A175EB9E51B1A343E7FA7553A71A555B60CFA2A7703954769EC89D0CB60C200E54CE5844EAE4DA8795zFD2P" TargetMode = "External"/>
	<Relationship Id="rId42" Type="http://schemas.openxmlformats.org/officeDocument/2006/relationships/hyperlink" Target="consultantplus://offline/ref=5E0DD34B9CFF8045157F7EF5A175EB9E51B1A343E7FA7553A71A555B60CFA2A7703954769DC99753B319315659C74F5AEBFBC68597F3z6DEP" TargetMode = "External"/>
	<Relationship Id="rId43" Type="http://schemas.openxmlformats.org/officeDocument/2006/relationships/hyperlink" Target="consultantplus://offline/ref=5E0DD34B9CFF8045157F60F8B719B59457B8FF4FE7FC7C04F846530C3F9FA4F230795220CE8DC355E7416B0355D94444E9zFD9P" TargetMode = "External"/>
	<Relationship Id="rId44" Type="http://schemas.openxmlformats.org/officeDocument/2006/relationships/hyperlink" Target="consultantplus://offline/ref=5E0DD34B9CFF8045157F60F8B719B59457B8FF4FE7FC7C04FF4C530C3F9FA4F230795220CE8DC355E7416B0355D94444E9zFD9P" TargetMode = "External"/>
	<Relationship Id="rId45" Type="http://schemas.openxmlformats.org/officeDocument/2006/relationships/header" Target="header2.xml"/>
	<Relationship Id="rId46" Type="http://schemas.openxmlformats.org/officeDocument/2006/relationships/footer" Target="footer2.xml"/>
	<Relationship Id="rId47" Type="http://schemas.openxmlformats.org/officeDocument/2006/relationships/hyperlink" Target="consultantplus://offline/ref=0A322D91CAF7574CCE830EE8BE9087DE887BF65DBDBE806868BCF2D5D18116261B0954E6803C90BF7A0F9CCE6FC485E0F35356A7EEA8520A04D0P" TargetMode = "External"/>
	<Relationship Id="rId48" Type="http://schemas.openxmlformats.org/officeDocument/2006/relationships/hyperlink" Target="consultantplus://offline/ref=0A322D91CAF7574CCE8310E5A8FCD9D48979AE50B9BA8E3C30EAF4828ED110735B4952B3D178C5B37A0DD69F2A8F8AE0F804DEP" TargetMode = "External"/>
	<Relationship Id="rId49" Type="http://schemas.openxmlformats.org/officeDocument/2006/relationships/hyperlink" Target="consultantplus://offline/ref=0A322D91CAF7574CCE8310E5A8FCD9D48979AE50B9BA823633E0F4828ED110735B4952B3C3789DBF7A04C89F2E9ADCB1BE185BA6F9B452095D33D16B07DDP" TargetMode = "External"/>
	<Relationship Id="rId50" Type="http://schemas.openxmlformats.org/officeDocument/2006/relationships/hyperlink" Target="consultantplus://offline/ref=0A322D91CAF7574CCE830EE8BE9087DE8F70F25CB9BC806868BCF2D5D18116261B0954E6803F95BB720F9CCE6FC485E0F35356A7EEA8520A04D0P" TargetMode = "External"/>
	<Relationship Id="rId51" Type="http://schemas.openxmlformats.org/officeDocument/2006/relationships/hyperlink" Target="consultantplus://offline/ref=0A322D91CAF7574CCE830EE8BE9087DE8877F85DBAB8806868BCF2D5D181162609090CEA80358EBE7B1ACA9F2909D2P" TargetMode = "External"/>
	<Relationship Id="rId52" Type="http://schemas.openxmlformats.org/officeDocument/2006/relationships/hyperlink" Target="consultantplus://offline/ref=0A322D91CAF7574CCE830EE8BE9087DE8F72F459BBB7806868BCF2D5D18116261B0954E6803C93BC730F9CCE6FC485E0F35356A7EEA8520A04D0P" TargetMode = "External"/>
	<Relationship Id="rId53" Type="http://schemas.openxmlformats.org/officeDocument/2006/relationships/hyperlink" Target="consultantplus://offline/ref=0A322D91CAF7574CCE830EE8BE9087DE8F72F459BBB7806868BCF2D5D18116261B0954E6803C93B97E0F9CCE6FC485E0F35356A7EEA8520A04D0P" TargetMode = "External"/>
	<Relationship Id="rId54" Type="http://schemas.openxmlformats.org/officeDocument/2006/relationships/hyperlink" Target="consultantplus://offline/ref=0A322D91CAF7574CCE8310E5A8FCD9D48979AE50B9BD8A3D35EAF4828ED110735B4952B3D178C5B37A0DD69F2A8F8AE0F804DEP" TargetMode = "External"/>
	<Relationship Id="rId55" Type="http://schemas.openxmlformats.org/officeDocument/2006/relationships/hyperlink" Target="consultantplus://offline/ref=0A322D91CAF7574CCE8310E5A8FCD9D48979AE50B9BD8A3D35EAF4828ED110735B4952B3D178C5B37A0DD69F2A8F8AE0F804DEP" TargetMode = "External"/>
	<Relationship Id="rId56" Type="http://schemas.openxmlformats.org/officeDocument/2006/relationships/hyperlink" Target="consultantplus://offline/ref=0A322D91CAF7574CCE830EE8BE9087DE8877F85DBAB8806868BCF2D5D181162609090CEA80358EBE7B1ACA9F2909D2P" TargetMode = "External"/>
	<Relationship Id="rId57" Type="http://schemas.openxmlformats.org/officeDocument/2006/relationships/hyperlink" Target="consultantplus://offline/ref=0A322D91CAF7574CCE830EE8BE9087DE887BF458BCB7806868BCF2D5D181162609090CEA80358EBE7B1ACA9F2909D2P" TargetMode = "External"/>
	<Relationship Id="rId58" Type="http://schemas.openxmlformats.org/officeDocument/2006/relationships/hyperlink" Target="consultantplus://offline/ref=0A322D91CAF7574CCE830EE8BE9087DE8877F55BBEB6806868BCF2D5D181162609090CEA80358EBE7B1ACA9F2909D2P" TargetMode = "External"/>
	<Relationship Id="rId59" Type="http://schemas.openxmlformats.org/officeDocument/2006/relationships/hyperlink" Target="consultantplus://offline/ref=0A322D91CAF7574CCE830EE8BE9087DE8877F85DBAB8806868BCF2D5D181162609090CEA80358EBE7B1ACA9F2909D2P" TargetMode = "External"/>
	<Relationship Id="rId60" Type="http://schemas.openxmlformats.org/officeDocument/2006/relationships/hyperlink" Target="consultantplus://offline/ref=0A322D91CAF7574CCE830EE8BE9087DE8876F354BABA806868BCF2D5D181162609090CEA80358EBE7B1ACA9F2909D2P" TargetMode = "External"/>
	<Relationship Id="rId61" Type="http://schemas.openxmlformats.org/officeDocument/2006/relationships/hyperlink" Target="consultantplus://offline/ref=0A322D91CAF7574CCE830EE8BE9087DE8875F854BBB6806868BCF2D5D181162609090CEA80358EBE7B1ACA9F2909D2P" TargetMode = "External"/>
	<Relationship Id="rId62" Type="http://schemas.openxmlformats.org/officeDocument/2006/relationships/hyperlink" Target="consultantplus://offline/ref=0A322D91CAF7574CCE830EE8BE9087DE8877F059BBB9806868BCF2D5D18116261B0954E6803C90BE720F9CCE6FC485E0F35356A7EEA8520A04D0P" TargetMode = "External"/>
	<Relationship Id="rId63" Type="http://schemas.openxmlformats.org/officeDocument/2006/relationships/hyperlink" Target="consultantplus://offline/ref=0A322D91CAF7574CCE830EE8BE9087DE8A70F95EBBBB806868BCF2D5D181162609090CEA80358EBE7B1ACA9F2909D2P" TargetMode = "External"/>
	<Relationship Id="rId64" Type="http://schemas.openxmlformats.org/officeDocument/2006/relationships/hyperlink" Target="consultantplus://offline/ref=0A322D91CAF7574CCE830EE8BE9087DE8876F15AB0BD806868BCF2D5D181162609090CEA80358EBE7B1ACA9F2909D2P" TargetMode = "External"/>
	<Relationship Id="rId65" Type="http://schemas.openxmlformats.org/officeDocument/2006/relationships/hyperlink" Target="consultantplus://offline/ref=0A322D91CAF7574CCE830EE8BE9087DE8F70F25CB9BC806868BCF2D5D181162609090CEA80358EBE7B1ACA9F2909D2P" TargetMode = "External"/>
	<Relationship Id="rId66" Type="http://schemas.openxmlformats.org/officeDocument/2006/relationships/hyperlink" Target="consultantplus://offline/ref=0A322D91CAF7574CCE8310E5A8FCD9D48979AE50B9B88E363DE0F4828ED110735B4952B3D178C5B37A0DD69F2A8F8AE0F804DEP" TargetMode = "External"/>
	<Relationship Id="rId67" Type="http://schemas.openxmlformats.org/officeDocument/2006/relationships/hyperlink" Target="consultantplus://offline/ref=0A322D91CAF7574CCE830EE8BE9087DE8F70F25CB9BC806868BCF2D5D181162609090CEA80358EBE7B1ACA9F2909D2P" TargetMode = "External"/>
	<Relationship Id="rId68" Type="http://schemas.openxmlformats.org/officeDocument/2006/relationships/hyperlink" Target="consultantplus://offline/ref=0A322D91CAF7574CCE8310E5A8FCD9D48979AE50B9B88E363DE0F4828ED110735B4952B3D178C5B37A0DD69F2A8F8AE0F804DEP" TargetMode = "External"/>
	<Relationship Id="rId69" Type="http://schemas.openxmlformats.org/officeDocument/2006/relationships/hyperlink" Target="consultantplus://offline/ref=0A322D91CAF7574CCE830EE8BE9087DE897AF758B3E8D76A39E9FCD0D9D14C360D4059EE9E3C91A07804CA09DCP" TargetMode = "External"/>
	<Relationship Id="rId70" Type="http://schemas.openxmlformats.org/officeDocument/2006/relationships/hyperlink" Target="consultantplus://offline/ref=0A322D91CAF7574CCE8310E5A8FCD9D48979AE50B9BA8E3C30EAF4828ED110735B4952B3D178C5B37A0DD69F2A8F8AE0F804DEP" TargetMode = "External"/>
	<Relationship Id="rId71" Type="http://schemas.openxmlformats.org/officeDocument/2006/relationships/hyperlink" Target="consultantplus://offline/ref=0A322D91CAF7574CCE830EE8BE9087DE8F70F25CB9BC806868BCF2D5D18116261B0954E6803E96B97D0F9CCE6FC485E0F35356A7EEA8520A04D0P" TargetMode = "External"/>
	<Relationship Id="rId72" Type="http://schemas.openxmlformats.org/officeDocument/2006/relationships/hyperlink" Target="consultantplus://offline/ref=0A322D91CAF7574CCE830EE8BE9087DE8F70F25CB9BC806868BCF2D5D181162609090CEA80358EBE7B1ACA9F2909D2P" TargetMode = "External"/>
	<Relationship Id="rId73" Type="http://schemas.openxmlformats.org/officeDocument/2006/relationships/hyperlink" Target="consultantplus://offline/ref=0A322D91CAF7574CCE8310E5A8FCD9D48979AE50B9BD8A3D35EAF4828ED110735B4952B3D178C5B37A0DD69F2A8F8AE0F804DEP" TargetMode = "External"/>
	<Relationship Id="rId74" Type="http://schemas.openxmlformats.org/officeDocument/2006/relationships/hyperlink" Target="consultantplus://offline/ref=0A322D91CAF7574CCE830EE8BE9087DE8877F85DBAB8806868BCF2D5D181162609090CEA80358EBE7B1ACA9F2909D2P" TargetMode = "External"/>
	<Relationship Id="rId75" Type="http://schemas.openxmlformats.org/officeDocument/2006/relationships/hyperlink" Target="consultantplus://offline/ref=0A322D91CAF7574CCE830EE8BE9087DE8A70F95EBCBA806868BCF2D5D181162609090CEA80358EBE7B1ACA9F2909D2P" TargetMode = "External"/>
	<Relationship Id="rId76" Type="http://schemas.openxmlformats.org/officeDocument/2006/relationships/hyperlink" Target="consultantplus://offline/ref=0A322D91CAF7574CCE830EE8BE9087DE8A71F058B9B8806868BCF2D5D181162609090CEA80358EBE7B1ACA9F2909D2P" TargetMode = "External"/>
	<Relationship Id="rId77" Type="http://schemas.openxmlformats.org/officeDocument/2006/relationships/hyperlink" Target="consultantplus://offline/ref=0A322D91CAF7574CCE8310E5A8FCD9D48979AE50B9BA823633E0F4828ED110735B4952B3C3789DBF7A04C89F2E9ADCB1BE185BA6F9B452095D33D16B07DDP" TargetMode = "External"/>
	<Relationship Id="rId78" Type="http://schemas.openxmlformats.org/officeDocument/2006/relationships/hyperlink" Target="consultantplus://offline/ref=0A322D91CAF7574CCE830EE8BE9087DE8877F85BB0B8806868BCF2D5D181162609090CEA80358EBE7B1ACA9F2909D2P" TargetMode = "External"/>
	<Relationship Id="rId79" Type="http://schemas.openxmlformats.org/officeDocument/2006/relationships/hyperlink" Target="consultantplus://offline/ref=0A322D91CAF7574CCE830EE8BE9087DE8972F05CB0BB806868BCF2D5D18116261B0954E6803C90BF7E0F9CCE6FC485E0F35356A7EEA8520A04D0P" TargetMode = "External"/>
	<Relationship Id="rId80" Type="http://schemas.openxmlformats.org/officeDocument/2006/relationships/hyperlink" Target="consultantplus://offline/ref=0A322D91CAF7574CCE830EE8BE9087DE8A7AF55ABCB9806868BCF2D5D18116261B0954E6803C90BF7E0F9CCE6FC485E0F35356A7EEA8520A04D0P" TargetMode = "External"/>
	<Relationship Id="rId81" Type="http://schemas.openxmlformats.org/officeDocument/2006/relationships/hyperlink" Target="consultantplus://offline/ref=0A322D91CAF7574CCE830EE8BE9087DE8870F55ABEBD806868BCF2D5D18116261B0954E58B68C1FA2F09C896359189FEF84D540AD5P" TargetMode = "External"/>
	<Relationship Id="rId82" Type="http://schemas.openxmlformats.org/officeDocument/2006/relationships/hyperlink" Target="consultantplus://offline/ref=0A322D91CAF7574CCE830EE8BE9087DE8A70F95EBCBA806868BCF2D5D181162609090CEA80358EBE7B1ACA9F2909D2P" TargetMode = "External"/>
	<Relationship Id="rId83" Type="http://schemas.openxmlformats.org/officeDocument/2006/relationships/hyperlink" Target="consultantplus://offline/ref=0A322D91CAF7574CCE830EE8BE9087DE8A71F058B9B8806868BCF2D5D181162609090CEA80358EBE7B1ACA9F2909D2P" TargetMode = "External"/>
	<Relationship Id="rId84" Type="http://schemas.openxmlformats.org/officeDocument/2006/relationships/hyperlink" Target="consultantplus://offline/ref=0A322D91CAF7574CCE830EE8BE9087DE8F70F25CBABB806868BCF2D5D181162609090CEA80358EBE7B1ACA9F2909D2P"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администрации Владимирской обл. от 07.07.2020 N 523-р
(ред. от 17.08.2020)
"Об утверждении исходных данных для составления проекта областного бюджета на 2021 год и на плановый период 2022 и 2023 годов"</dc:title>
  <dcterms:created xsi:type="dcterms:W3CDTF">2023-01-09T15:03:49Z</dcterms:created>
</cp:coreProperties>
</file>